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C6028" w14:textId="77777777" w:rsidR="00590D4B" w:rsidRDefault="00590D4B" w:rsidP="008A787C">
      <w:pPr>
        <w:pStyle w:val="CH"/>
      </w:pPr>
      <w:bookmarkStart w:id="0" w:name="historyclause"/>
    </w:p>
    <w:p w14:paraId="70EDB3C8" w14:textId="224EDB83" w:rsidR="00524449" w:rsidRDefault="00524449" w:rsidP="00524449">
      <w:pPr>
        <w:pStyle w:val="CH"/>
      </w:pPr>
      <w:r>
        <w:t xml:space="preserve">3GPP RAN WG4 Meeting </w:t>
      </w:r>
      <w:r w:rsidR="00651321" w:rsidRPr="009F0E8D">
        <w:t>#</w:t>
      </w:r>
      <w:r w:rsidR="006B4030">
        <w:t>10</w:t>
      </w:r>
      <w:r w:rsidR="000E55BB">
        <w:t>4</w:t>
      </w:r>
      <w:r w:rsidR="00D761E5">
        <w:t>bis</w:t>
      </w:r>
      <w:r>
        <w:tab/>
      </w:r>
      <w:r>
        <w:tab/>
      </w:r>
      <w:r w:rsidR="005A589B" w:rsidRPr="005A589B">
        <w:t>R4-2215645</w:t>
      </w:r>
    </w:p>
    <w:p w14:paraId="50DC9730" w14:textId="45C5AFDD" w:rsidR="00D309CC" w:rsidRPr="00FD166F" w:rsidRDefault="00651321" w:rsidP="00524449">
      <w:pPr>
        <w:pStyle w:val="CH"/>
        <w:tabs>
          <w:tab w:val="clear" w:pos="7920"/>
        </w:tabs>
        <w:rPr>
          <w:b w:val="0"/>
        </w:rPr>
      </w:pPr>
      <w:r w:rsidRPr="005B0B43">
        <w:t xml:space="preserve">Electronic meeting, </w:t>
      </w:r>
      <w:r w:rsidR="00D761E5">
        <w:t>October</w:t>
      </w:r>
      <w:r w:rsidR="00D761E5" w:rsidRPr="005527B2">
        <w:t xml:space="preserve"> </w:t>
      </w:r>
      <w:r w:rsidR="00D761E5">
        <w:t xml:space="preserve">10 – 19th, </w:t>
      </w:r>
      <w:r w:rsidR="00D761E5" w:rsidRPr="00D93B95">
        <w:t>202</w:t>
      </w:r>
      <w:r w:rsidR="00D761E5">
        <w:t>2</w:t>
      </w:r>
      <w:r w:rsidR="00D46431">
        <w:tab/>
      </w:r>
    </w:p>
    <w:p w14:paraId="39A0EE25" w14:textId="77777777" w:rsidR="00D309CC" w:rsidRDefault="00D309CC" w:rsidP="00E27B54">
      <w:pPr>
        <w:tabs>
          <w:tab w:val="left" w:pos="2160"/>
        </w:tabs>
        <w:rPr>
          <w:rFonts w:ascii="Arial" w:hAnsi="Arial" w:cs="Arial"/>
          <w:b/>
        </w:rPr>
      </w:pPr>
    </w:p>
    <w:p w14:paraId="6DDCE159" w14:textId="73FB692C" w:rsidR="00D309CC" w:rsidRPr="006C351C" w:rsidRDefault="00D309CC" w:rsidP="00E27B54">
      <w:pPr>
        <w:pStyle w:val="CH"/>
        <w:rPr>
          <w:b w:val="0"/>
        </w:rPr>
      </w:pPr>
      <w:r w:rsidRPr="0008103A">
        <w:t>Agenda item:</w:t>
      </w:r>
      <w:r>
        <w:tab/>
      </w:r>
      <w:r w:rsidR="00BF5F5B">
        <w:rPr>
          <w:lang w:val="en-US"/>
        </w:rPr>
        <w:t>9</w:t>
      </w:r>
      <w:r w:rsidR="00D761E5">
        <w:rPr>
          <w:lang w:val="en-US"/>
        </w:rPr>
        <w:t>.2</w:t>
      </w:r>
    </w:p>
    <w:p w14:paraId="4DBE005A" w14:textId="480489C5" w:rsidR="00D309CC" w:rsidRPr="006C351C" w:rsidRDefault="00D309CC" w:rsidP="00E27B54">
      <w:pPr>
        <w:pStyle w:val="CH"/>
        <w:rPr>
          <w:b w:val="0"/>
        </w:rPr>
      </w:pPr>
      <w:r w:rsidRPr="006C351C">
        <w:t>Source:</w:t>
      </w:r>
      <w:r w:rsidRPr="006C351C">
        <w:tab/>
        <w:t>Apple</w:t>
      </w:r>
    </w:p>
    <w:p w14:paraId="0D2061A1" w14:textId="3539643D" w:rsidR="00D309CC" w:rsidRPr="006C351C" w:rsidRDefault="00D309CC" w:rsidP="006B4030">
      <w:pPr>
        <w:pStyle w:val="CH"/>
        <w:ind w:left="2268" w:hanging="2268"/>
      </w:pPr>
      <w:r w:rsidRPr="006C351C">
        <w:t>Title:</w:t>
      </w:r>
      <w:r w:rsidRPr="006C351C">
        <w:tab/>
      </w:r>
      <w:r w:rsidR="00BF5F5B" w:rsidRPr="00BF5F5B">
        <w:t>2RX exception for the 6GHz band</w:t>
      </w:r>
    </w:p>
    <w:p w14:paraId="052B1E0C" w14:textId="75C74422" w:rsidR="00104BC6" w:rsidRPr="00754D1F" w:rsidRDefault="00104BC6" w:rsidP="00E27B54">
      <w:pPr>
        <w:pStyle w:val="CH"/>
        <w:rPr>
          <w:lang w:val="de-DE"/>
        </w:rPr>
      </w:pPr>
      <w:r w:rsidRPr="00754D1F">
        <w:rPr>
          <w:lang w:val="de-DE"/>
        </w:rPr>
        <w:t>WI/SI:</w:t>
      </w:r>
      <w:r w:rsidRPr="00754D1F">
        <w:rPr>
          <w:lang w:val="de-DE"/>
        </w:rPr>
        <w:tab/>
      </w:r>
    </w:p>
    <w:p w14:paraId="6C6D1281" w14:textId="62B17AD2" w:rsidR="00104BC6" w:rsidRPr="006C351C" w:rsidRDefault="00104BC6" w:rsidP="00E27B54">
      <w:pPr>
        <w:pStyle w:val="CH"/>
        <w:rPr>
          <w:b w:val="0"/>
        </w:rPr>
      </w:pPr>
      <w:r w:rsidRPr="006C351C">
        <w:t>Release:</w:t>
      </w:r>
      <w:r w:rsidRPr="006C351C">
        <w:tab/>
        <w:t>Rel-</w:t>
      </w:r>
      <w:r w:rsidR="002A79F8" w:rsidRPr="006C351C">
        <w:t>1</w:t>
      </w:r>
      <w:r w:rsidR="000E55BB">
        <w:t>8</w:t>
      </w:r>
    </w:p>
    <w:p w14:paraId="00DB0B4B" w14:textId="1520151C" w:rsidR="00FC371C" w:rsidRDefault="00D309CC" w:rsidP="00E27B54">
      <w:pPr>
        <w:pStyle w:val="CH"/>
      </w:pPr>
      <w:r w:rsidRPr="006C351C">
        <w:t>Document for:</w:t>
      </w:r>
      <w:r w:rsidRPr="006C351C">
        <w:tab/>
      </w:r>
      <w:r w:rsidR="00C77A33" w:rsidRPr="00C77A33">
        <w:t>Decision</w:t>
      </w:r>
    </w:p>
    <w:p w14:paraId="6B5BDE59" w14:textId="77777777" w:rsidR="00171755" w:rsidRPr="00171755" w:rsidRDefault="00171755" w:rsidP="00E27B54">
      <w:pPr>
        <w:pStyle w:val="CH"/>
      </w:pPr>
    </w:p>
    <w:p w14:paraId="0273524A" w14:textId="48BBA82E" w:rsidR="008E7986" w:rsidRDefault="008E7986" w:rsidP="00E27B54">
      <w:pPr>
        <w:pStyle w:val="Heading1"/>
        <w:keepNext w:val="0"/>
        <w:keepLines w:val="0"/>
      </w:pPr>
      <w:r>
        <w:t>1</w:t>
      </w:r>
      <w:r>
        <w:tab/>
      </w:r>
      <w:r w:rsidRPr="004D3578">
        <w:t>Introduction</w:t>
      </w:r>
      <w:r>
        <w:t xml:space="preserve"> </w:t>
      </w:r>
    </w:p>
    <w:p w14:paraId="56FB6951" w14:textId="44450649" w:rsidR="00710A96" w:rsidRDefault="00E32A96" w:rsidP="00E27B54">
      <w:r>
        <w:t xml:space="preserve">3GPP Rel-16 </w:t>
      </w:r>
      <w:r w:rsidRPr="00CD5E72">
        <w:t>NR-U WI</w:t>
      </w:r>
      <w:r w:rsidR="00E26CBD">
        <w:t xml:space="preserve"> </w:t>
      </w:r>
      <w:r>
        <w:t>specified</w:t>
      </w:r>
      <w:r w:rsidRPr="00CD5E72">
        <w:t xml:space="preserve"> how the NR technology can be used on the unlicensed spectrum thus offering more resources in frequency bands, such as 5GHz and 6GHz</w:t>
      </w:r>
      <w:r>
        <w:t xml:space="preserve">. </w:t>
      </w:r>
      <w:r w:rsidR="00BF5F5B">
        <w:t>As a part of the completed Rel-1</w:t>
      </w:r>
      <w:r w:rsidR="005D74B1">
        <w:t>6</w:t>
      </w:r>
      <w:r w:rsidR="00BF5F5B">
        <w:t xml:space="preserve"> NR-U WI, a new unlicensed band n96 </w:t>
      </w:r>
      <w:r w:rsidR="005D74B1">
        <w:t xml:space="preserve">(5925-7125MHz) </w:t>
      </w:r>
      <w:r w:rsidR="00BF5F5B">
        <w:t>was added</w:t>
      </w:r>
      <w:r w:rsidR="005D74B1">
        <w:t>.</w:t>
      </w:r>
      <w:r w:rsidR="00BF5F5B">
        <w:t xml:space="preserve"> </w:t>
      </w:r>
      <w:r w:rsidR="005D74B1">
        <w:t>Its applicability</w:t>
      </w:r>
      <w:r w:rsidR="00BF5F5B">
        <w:t xml:space="preserve"> was initially limited only to US, but then enlarged to other countries, such as</w:t>
      </w:r>
      <w:r w:rsidR="005D74B1">
        <w:t xml:space="preserve"> Canada, South Korea, Brazil, etc</w:t>
      </w:r>
      <w:r w:rsidR="00710A96">
        <w:t>.</w:t>
      </w:r>
      <w:r w:rsidR="005D74B1">
        <w:t xml:space="preserve"> At the same time a new </w:t>
      </w:r>
      <w:r w:rsidR="005D74B1" w:rsidRPr="005D74B1">
        <w:rPr>
          <w:i/>
          <w:iCs/>
        </w:rPr>
        <w:t>licensed</w:t>
      </w:r>
      <w:r w:rsidR="005D74B1">
        <w:t xml:space="preserve"> band n104 (6425-7125MHz) was introduced in Rel-17, which from the viewpoint of the covered frequency range overlaps with the unlicensed band n96. </w:t>
      </w:r>
    </w:p>
    <w:p w14:paraId="33DBE82D" w14:textId="598EE034" w:rsidR="005D74B1" w:rsidRDefault="007B7D7C" w:rsidP="00E27B54">
      <w:r>
        <w:t xml:space="preserve">During the </w:t>
      </w:r>
      <w:r w:rsidR="00BF5F5B">
        <w:t xml:space="preserve">previous RAN WG4 and TSG RAN meetings </w:t>
      </w:r>
      <w:r>
        <w:t xml:space="preserve">companies discussed </w:t>
      </w:r>
      <w:r w:rsidR="00BF5F5B">
        <w:t>how to accommodate different UE designs and requirements for the case if a particular device support</w:t>
      </w:r>
      <w:r w:rsidR="00F25937">
        <w:t>s</w:t>
      </w:r>
      <w:r w:rsidR="00BF5F5B">
        <w:t xml:space="preserve"> both </w:t>
      </w:r>
      <w:r w:rsidR="00F25937">
        <w:t xml:space="preserve">the </w:t>
      </w:r>
      <w:r w:rsidR="00BF5F5B">
        <w:t>unlicensed band n96 and the licensed band n104</w:t>
      </w:r>
      <w:r w:rsidR="00B469CF">
        <w:t xml:space="preserve"> </w:t>
      </w:r>
      <w:r w:rsidR="00B469CF">
        <w:fldChar w:fldCharType="begin"/>
      </w:r>
      <w:r w:rsidR="00B469CF">
        <w:instrText xml:space="preserve"> REF _Ref115431793 \r \h </w:instrText>
      </w:r>
      <w:r w:rsidR="00B469CF">
        <w:fldChar w:fldCharType="separate"/>
      </w:r>
      <w:r w:rsidR="00B469CF">
        <w:t>[1]</w:t>
      </w:r>
      <w:r w:rsidR="00B469CF">
        <w:fldChar w:fldCharType="end"/>
      </w:r>
      <w:r w:rsidR="00B469CF">
        <w:fldChar w:fldCharType="begin"/>
      </w:r>
      <w:r w:rsidR="00B469CF">
        <w:instrText xml:space="preserve"> REF _Ref115431796 \r \h </w:instrText>
      </w:r>
      <w:r w:rsidR="00B469CF">
        <w:fldChar w:fldCharType="separate"/>
      </w:r>
      <w:r w:rsidR="00B469CF">
        <w:t>[2]</w:t>
      </w:r>
      <w:r w:rsidR="00B469CF">
        <w:fldChar w:fldCharType="end"/>
      </w:r>
      <w:r w:rsidR="00E32A96">
        <w:t>.</w:t>
      </w:r>
      <w:r w:rsidR="00BF5F5B">
        <w:t xml:space="preserve"> </w:t>
      </w:r>
      <w:r w:rsidR="005D74B1">
        <w:t xml:space="preserve">The matter is that from the </w:t>
      </w:r>
      <w:r w:rsidR="00F25937">
        <w:t xml:space="preserve">viewpoint of the </w:t>
      </w:r>
      <w:r w:rsidR="005D74B1">
        <w:t xml:space="preserve">3GPP </w:t>
      </w:r>
      <w:r w:rsidR="00F25937">
        <w:t>core specifications</w:t>
      </w:r>
      <w:r w:rsidR="005D74B1">
        <w:t xml:space="preserve"> licensed and unlicensed bands have different performance requirements; in particular, unlicensed bands </w:t>
      </w:r>
      <w:r w:rsidR="001C0F97">
        <w:t xml:space="preserve">n46 and n96 </w:t>
      </w:r>
      <w:r w:rsidR="005D74B1">
        <w:t xml:space="preserve">have 2RX antennas as the minimum performance requirement. </w:t>
      </w:r>
    </w:p>
    <w:p w14:paraId="33E772CC" w14:textId="206D478C" w:rsidR="00453AE1" w:rsidRDefault="005D74B1" w:rsidP="00E27B54">
      <w:r>
        <w:t>B</w:t>
      </w:r>
      <w:r w:rsidR="00BF5F5B">
        <w:t>ased on the outcome of the TSG RAN#9</w:t>
      </w:r>
      <w:r w:rsidR="00B469CF">
        <w:t>7</w:t>
      </w:r>
      <w:r w:rsidR="00BF5F5B">
        <w:t xml:space="preserve"> meeting</w:t>
      </w:r>
      <w:r w:rsidR="00B469CF">
        <w:t xml:space="preserve"> </w:t>
      </w:r>
      <w:r w:rsidR="00B469CF">
        <w:fldChar w:fldCharType="begin"/>
      </w:r>
      <w:r w:rsidR="00B469CF">
        <w:instrText xml:space="preserve"> REF _Ref115431814 \r \h </w:instrText>
      </w:r>
      <w:r w:rsidR="00B469CF">
        <w:fldChar w:fldCharType="separate"/>
      </w:r>
      <w:r w:rsidR="00B469CF">
        <w:t>[3]</w:t>
      </w:r>
      <w:r w:rsidR="00B469CF">
        <w:fldChar w:fldCharType="end"/>
      </w:r>
      <w:r w:rsidR="00BF5F5B">
        <w:t xml:space="preserve">, it was agreed to study how </w:t>
      </w:r>
      <w:r w:rsidR="00F25937">
        <w:t xml:space="preserve">a device implementing both bands n96 and n104 can be granted </w:t>
      </w:r>
      <w:r w:rsidR="00BF5F5B">
        <w:t>the 2RX exception</w:t>
      </w:r>
      <w:r w:rsidR="00F25937">
        <w:t>.</w:t>
      </w:r>
      <w:r w:rsidR="00BF5F5B">
        <w:t xml:space="preserve"> Thus, in this discussion paper we present our further considerations on how this exception might work and </w:t>
      </w:r>
      <w:r w:rsidR="00F25937">
        <w:t>how it may impact existing specifications</w:t>
      </w:r>
      <w:r w:rsidR="00BF5F5B">
        <w:t xml:space="preserve">. </w:t>
      </w:r>
      <w:r w:rsidR="00E703E1">
        <w:t xml:space="preserve">  </w:t>
      </w:r>
    </w:p>
    <w:p w14:paraId="3D8D13C3" w14:textId="28FA9AC6" w:rsidR="00710FF0" w:rsidRDefault="00710FF0" w:rsidP="00E27B54"/>
    <w:p w14:paraId="311073B9" w14:textId="77777777" w:rsidR="007142E1" w:rsidRDefault="007142E1" w:rsidP="00E27B54"/>
    <w:p w14:paraId="764FB173" w14:textId="4EE40302" w:rsidR="007142E1" w:rsidRDefault="00FC371C" w:rsidP="00D46332">
      <w:pPr>
        <w:pStyle w:val="Heading1"/>
        <w:keepNext w:val="0"/>
        <w:keepLines w:val="0"/>
      </w:pPr>
      <w:r>
        <w:t>2</w:t>
      </w:r>
      <w:r>
        <w:tab/>
      </w:r>
      <w:r w:rsidR="00BF5F5B">
        <w:t>2RX exception for the 6GHz band</w:t>
      </w:r>
    </w:p>
    <w:p w14:paraId="1836228B" w14:textId="3485C4BE" w:rsidR="00784869" w:rsidRDefault="00784869" w:rsidP="00784869">
      <w:pPr>
        <w:pStyle w:val="Heading2"/>
      </w:pPr>
      <w:r>
        <w:t>2.</w:t>
      </w:r>
      <w:r w:rsidR="00D46332">
        <w:t>1</w:t>
      </w:r>
      <w:r>
        <w:tab/>
      </w:r>
      <w:r w:rsidR="00F25937">
        <w:t>Background</w:t>
      </w:r>
    </w:p>
    <w:p w14:paraId="14790A68" w14:textId="5F840B7A" w:rsidR="000461D6" w:rsidRDefault="000461D6" w:rsidP="000461D6">
      <w:r>
        <w:t xml:space="preserve">As mentioned in the Introduction part and as extensively discussed in 3GPP, the root cause of the problem is the fact that band n96 and n104 overlap in the frequency range of 6425-7125MHz and that </w:t>
      </w:r>
      <w:r w:rsidR="00F25937">
        <w:t xml:space="preserve">the </w:t>
      </w:r>
      <w:r>
        <w:t>unlicensed and licensed bands hav</w:t>
      </w:r>
      <w:r w:rsidR="00F25937">
        <w:t>e</w:t>
      </w:r>
      <w:r>
        <w:t xml:space="preserve"> different performance requirements. Of course, if a device plans to implement only band n96, then there is no issue because a device will not even indicate support for band n104. However, </w:t>
      </w:r>
      <w:r w:rsidR="00F07212">
        <w:t xml:space="preserve">if a device wants to be forward </w:t>
      </w:r>
      <w:r w:rsidR="00F25937">
        <w:t>compatible</w:t>
      </w:r>
      <w:r>
        <w:t xml:space="preserve"> with potential band n104 </w:t>
      </w:r>
      <w:r w:rsidR="00C5426D">
        <w:t>deployments</w:t>
      </w:r>
      <w:r w:rsidR="00F07212">
        <w:t>, then</w:t>
      </w:r>
      <w:r w:rsidR="00C5426D">
        <w:t xml:space="preserve"> </w:t>
      </w:r>
      <w:r>
        <w:t>it is premature to mandate 4RX</w:t>
      </w:r>
      <w:r w:rsidR="00F07212">
        <w:t xml:space="preserve"> because none of the national Administrations has officially adopted 6425-7125MHz for the IMT operation. </w:t>
      </w:r>
      <w:r w:rsidR="00D46332">
        <w:t>For instance, the</w:t>
      </w:r>
      <w:r w:rsidR="00F07212">
        <w:t xml:space="preserve"> RCC</w:t>
      </w:r>
      <w:r w:rsidR="00D46332">
        <w:t xml:space="preserve"> body </w:t>
      </w:r>
      <w:r w:rsidR="00F07212">
        <w:t xml:space="preserve">published </w:t>
      </w:r>
      <w:r w:rsidR="00D46332">
        <w:t xml:space="preserve">a </w:t>
      </w:r>
      <w:r w:rsidR="00F07212">
        <w:t xml:space="preserve">recommendation on how that spectrum </w:t>
      </w:r>
      <w:r w:rsidR="00D46332">
        <w:t xml:space="preserve">range </w:t>
      </w:r>
      <w:r w:rsidR="00F07212">
        <w:t xml:space="preserve">should be divided and used, but none of the RCC countries has made the official change in the national regulations. Based on that it remains to be seen which deployments </w:t>
      </w:r>
      <w:r w:rsidR="00D46332">
        <w:t xml:space="preserve">and in </w:t>
      </w:r>
      <w:r w:rsidR="00F07212">
        <w:t>which countries</w:t>
      </w:r>
      <w:r w:rsidR="007142E1">
        <w:t>/</w:t>
      </w:r>
      <w:r w:rsidR="00F07212">
        <w:t>regions we will have</w:t>
      </w:r>
      <w:r w:rsidR="00F50DE5">
        <w:t xml:space="preserve"> </w:t>
      </w:r>
      <w:r w:rsidR="00D46332">
        <w:t xml:space="preserve">for </w:t>
      </w:r>
      <w:r w:rsidR="000051B7">
        <w:t>band n104. Thus,</w:t>
      </w:r>
      <w:r w:rsidR="00F50DE5">
        <w:t xml:space="preserve"> there should be a way for devices, which could be forward compatible with band n104, to be able to operate with 2RX in that band.</w:t>
      </w:r>
      <w:r w:rsidR="00C5426D">
        <w:t xml:space="preserve"> </w:t>
      </w:r>
      <w:r>
        <w:t xml:space="preserve">   </w:t>
      </w:r>
    </w:p>
    <w:p w14:paraId="67B93CF5" w14:textId="2A948F5C" w:rsidR="00F25937" w:rsidRDefault="00F25937" w:rsidP="000461D6">
      <w:r>
        <w:t xml:space="preserve">In the subsequent sections we elaborate further on how 2RX exception for the licensed band n104 can be supported and </w:t>
      </w:r>
      <w:r w:rsidR="007E306E">
        <w:t xml:space="preserve">which specifications changes will be needed. </w:t>
      </w:r>
    </w:p>
    <w:p w14:paraId="2E4FA54F" w14:textId="1C543447" w:rsidR="00F50DE5" w:rsidRDefault="00F50DE5" w:rsidP="000461D6"/>
    <w:p w14:paraId="1F80A648" w14:textId="51C14DD4" w:rsidR="00D46332" w:rsidRDefault="00D46332" w:rsidP="00D46332">
      <w:pPr>
        <w:pStyle w:val="Heading2"/>
      </w:pPr>
      <w:r>
        <w:lastRenderedPageBreak/>
        <w:t>2.2</w:t>
      </w:r>
      <w:r>
        <w:tab/>
        <w:t>Performance requirements for 2RX and 4RX</w:t>
      </w:r>
    </w:p>
    <w:p w14:paraId="2577DE4B" w14:textId="77777777" w:rsidR="00D46332" w:rsidRDefault="00D46332" w:rsidP="00D46332">
      <w:r>
        <w:t xml:space="preserve">It is worth mentioning that the existing TS 38.101-1 core specification already defines unlicensed band n96 performance requirements for both 2RX and 4RX case. In other words, purely from the specification perspective there is nothing that prevents a device manufacturer to build a device supporting </w:t>
      </w:r>
      <w:proofErr w:type="gramStart"/>
      <w:r>
        <w:t>e.g.</w:t>
      </w:r>
      <w:proofErr w:type="gramEnd"/>
      <w:r>
        <w:t xml:space="preserve"> 4RX for band n96. However, since 4RX is optional for the unlicensed bands, a device implementing 2RX will follow existing requirements defined for the 2RX receivers. </w:t>
      </w:r>
    </w:p>
    <w:p w14:paraId="02979753" w14:textId="77777777" w:rsidR="00D46332" w:rsidRDefault="00D46332" w:rsidP="00D46332">
      <w:r>
        <w:t xml:space="preserve">During the TSG RAN#97 discussions several concerns/questions were raised on whether existing performance requirements will be revised, but our understanding is that they remain as they are. In other words, if a device is granted an exception for the 2RX receivers, the exception itself does not change existing requirements. </w:t>
      </w:r>
    </w:p>
    <w:p w14:paraId="0C9507D9" w14:textId="675DC2CF" w:rsidR="00D46332" w:rsidRDefault="00D46332" w:rsidP="00D46332">
      <w:pPr>
        <w:pStyle w:val="Proposal"/>
      </w:pPr>
      <w:bookmarkStart w:id="1" w:name="_Toc109996216"/>
      <w:bookmarkStart w:id="2" w:name="_Toc110013128"/>
      <w:bookmarkStart w:id="3" w:name="_Toc110014380"/>
      <w:bookmarkStart w:id="4" w:name="_Toc114844553"/>
      <w:bookmarkStart w:id="5" w:name="_Toc114844863"/>
      <w:bookmarkStart w:id="6" w:name="_Toc115363763"/>
      <w:bookmarkStart w:id="7" w:name="_Toc115363890"/>
      <w:bookmarkStart w:id="8" w:name="_Toc115375826"/>
      <w:bookmarkStart w:id="9" w:name="_Toc115428801"/>
      <w:bookmarkStart w:id="10" w:name="_Toc115431201"/>
      <w:r w:rsidRPr="00AB2852">
        <w:rPr>
          <w:bCs/>
        </w:rPr>
        <w:t>Proposal</w:t>
      </w:r>
      <w:r>
        <w:rPr>
          <w:bCs/>
        </w:rPr>
        <w:t xml:space="preserve"> </w:t>
      </w:r>
      <w:r w:rsidR="007E306E">
        <w:rPr>
          <w:bCs/>
        </w:rPr>
        <w:t>1a</w:t>
      </w:r>
      <w:r w:rsidRPr="00AB2852">
        <w:rPr>
          <w:bCs/>
        </w:rPr>
        <w:t>:</w:t>
      </w:r>
      <w:r>
        <w:tab/>
        <w:t>Existing 2RX and 4RX requirements for the unlicensed band n96/n102 remain as they are.</w:t>
      </w:r>
      <w:bookmarkEnd w:id="1"/>
      <w:bookmarkEnd w:id="2"/>
      <w:bookmarkEnd w:id="3"/>
      <w:bookmarkEnd w:id="4"/>
      <w:bookmarkEnd w:id="5"/>
      <w:bookmarkEnd w:id="6"/>
      <w:bookmarkEnd w:id="7"/>
      <w:bookmarkEnd w:id="8"/>
      <w:bookmarkEnd w:id="9"/>
      <w:bookmarkEnd w:id="10"/>
    </w:p>
    <w:p w14:paraId="13075B5D" w14:textId="594B9131" w:rsidR="007E306E" w:rsidRDefault="007E306E" w:rsidP="00D46332">
      <w:pPr>
        <w:pStyle w:val="Proposal"/>
      </w:pPr>
      <w:bookmarkStart w:id="11" w:name="_Toc115431202"/>
      <w:r>
        <w:t>Proposal 1b:</w:t>
      </w:r>
      <w:r>
        <w:tab/>
        <w:t>There is no impact to TS 38.101-1 in terms of performance requirements.</w:t>
      </w:r>
      <w:bookmarkEnd w:id="11"/>
    </w:p>
    <w:p w14:paraId="65664562" w14:textId="77777777" w:rsidR="00D46332" w:rsidRDefault="00D46332" w:rsidP="000461D6"/>
    <w:p w14:paraId="4333F03C" w14:textId="0DC24C3A" w:rsidR="00F50DE5" w:rsidRDefault="00F50DE5" w:rsidP="00F50DE5">
      <w:pPr>
        <w:pStyle w:val="Heading2"/>
      </w:pPr>
      <w:r>
        <w:t>2.3</w:t>
      </w:r>
      <w:r>
        <w:tab/>
        <w:t>Signalling details</w:t>
      </w:r>
    </w:p>
    <w:p w14:paraId="4765735D" w14:textId="720973C3" w:rsidR="00D808EB" w:rsidRDefault="00167585" w:rsidP="000461D6">
      <w:r>
        <w:t xml:space="preserve">Based on the decision from the TSG RAN#97 meeting, RAN WG4 was tasked to study how the 2RX exception will or may impact existing specifications in terms of signalling. Our preliminary view is that a device implementing 2RX for band n104 does not necessarily need any new signalling because existing UE capabilities </w:t>
      </w:r>
      <w:r w:rsidR="00D808EB">
        <w:t>in principle</w:t>
      </w:r>
      <w:r>
        <w:t xml:space="preserve"> allow </w:t>
      </w:r>
      <w:r w:rsidR="007E306E">
        <w:t>conveying the corresponding information</w:t>
      </w:r>
      <w:r>
        <w:t xml:space="preserve">. </w:t>
      </w:r>
      <w:r w:rsidR="00D808EB">
        <w:t xml:space="preserve">There is an IE </w:t>
      </w:r>
      <w:proofErr w:type="spellStart"/>
      <w:r w:rsidR="00D808EB" w:rsidRPr="00D808EB">
        <w:rPr>
          <w:i/>
          <w:iCs/>
        </w:rPr>
        <w:t>maxNumberMIMO-LayersPDSCH</w:t>
      </w:r>
      <w:proofErr w:type="spellEnd"/>
      <w:r w:rsidR="00D808EB">
        <w:t xml:space="preserve"> which indicates how many MIMO layers are supported by the UE, and the current logic of the specifications that a UE shall support 4 MIMO layers if it supports 4RX antenna ports as captured in TS 38.306</w:t>
      </w:r>
    </w:p>
    <w:p w14:paraId="339C2FDC" w14:textId="77777777" w:rsidR="00D808EB" w:rsidRPr="00D808EB" w:rsidRDefault="00D808EB" w:rsidP="00D808EB">
      <w:pPr>
        <w:pStyle w:val="TAL"/>
        <w:ind w:left="567"/>
        <w:rPr>
          <w:b/>
          <w:bCs/>
          <w:i/>
          <w:iCs/>
        </w:rPr>
      </w:pPr>
      <w:proofErr w:type="spellStart"/>
      <w:r w:rsidRPr="00D808EB">
        <w:rPr>
          <w:b/>
          <w:bCs/>
          <w:i/>
          <w:iCs/>
        </w:rPr>
        <w:t>maxNumberMIMO-LayersPDSCH</w:t>
      </w:r>
      <w:proofErr w:type="spellEnd"/>
    </w:p>
    <w:p w14:paraId="31944128" w14:textId="09E4C7B1" w:rsidR="00D808EB" w:rsidRPr="00D808EB" w:rsidRDefault="00D808EB" w:rsidP="00D808EB">
      <w:pPr>
        <w:ind w:left="567"/>
        <w:rPr>
          <w:i/>
          <w:iCs/>
        </w:rPr>
      </w:pPr>
      <w:r w:rsidRPr="00D808EB">
        <w:rPr>
          <w:i/>
          <w:iCs/>
        </w:rPr>
        <w:t>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 not support MIMO on this carrier.</w:t>
      </w:r>
    </w:p>
    <w:p w14:paraId="4A97F8E3" w14:textId="1A07A010" w:rsidR="00F50DE5" w:rsidRDefault="00D808EB" w:rsidP="000461D6">
      <w:r>
        <w:t xml:space="preserve">However, it is obvious that if a UE supports only 2RX antenna ports, it can support only 2 MIMO layers. Thus, if a particular device implements support for band n104 with 2RX it will anyway signal only 2 MIMO layers in IE </w:t>
      </w:r>
      <w:proofErr w:type="spellStart"/>
      <w:r w:rsidRPr="00D808EB">
        <w:rPr>
          <w:i/>
          <w:iCs/>
        </w:rPr>
        <w:t>maxNumberMIMO-LayersPDSCH</w:t>
      </w:r>
      <w:proofErr w:type="spellEnd"/>
      <w:r>
        <w:t xml:space="preserve">. </w:t>
      </w:r>
      <w:r w:rsidR="00167585">
        <w:t xml:space="preserve">Based on that the network can always differentiate between 2RX and 4RX devices supporting band n104 (and make further decisions on whether it will be configured with secondary cells, re-directed to the 6GHz layer, etc). </w:t>
      </w:r>
    </w:p>
    <w:p w14:paraId="6980380C" w14:textId="00894241" w:rsidR="00F50DE5" w:rsidRDefault="00F50DE5" w:rsidP="00F50DE5">
      <w:pPr>
        <w:pStyle w:val="Proposal"/>
      </w:pPr>
      <w:bookmarkStart w:id="12" w:name="_Toc115363892"/>
      <w:bookmarkStart w:id="13" w:name="_Toc115375827"/>
      <w:bookmarkStart w:id="14" w:name="_Toc115428802"/>
      <w:bookmarkStart w:id="15" w:name="_Toc115431203"/>
      <w:r w:rsidRPr="00AB2852">
        <w:rPr>
          <w:bCs/>
        </w:rPr>
        <w:t>Proposal</w:t>
      </w:r>
      <w:r>
        <w:rPr>
          <w:bCs/>
        </w:rPr>
        <w:t xml:space="preserve"> </w:t>
      </w:r>
      <w:r w:rsidR="007E306E">
        <w:rPr>
          <w:bCs/>
        </w:rPr>
        <w:t>2</w:t>
      </w:r>
      <w:r w:rsidR="001805FD">
        <w:rPr>
          <w:bCs/>
        </w:rPr>
        <w:t>a</w:t>
      </w:r>
      <w:r w:rsidRPr="00AB2852">
        <w:rPr>
          <w:bCs/>
        </w:rPr>
        <w:t>:</w:t>
      </w:r>
      <w:r>
        <w:tab/>
        <w:t xml:space="preserve">The simplest signalling solution is to leverage existing IE </w:t>
      </w:r>
      <w:proofErr w:type="spellStart"/>
      <w:r w:rsidR="00D808EB" w:rsidRPr="00D808EB">
        <w:rPr>
          <w:i/>
          <w:iCs/>
        </w:rPr>
        <w:t>maxNumberMIMO-LayersPDSCH</w:t>
      </w:r>
      <w:proofErr w:type="spellEnd"/>
      <w:r w:rsidR="00D808EB">
        <w:t xml:space="preserve"> </w:t>
      </w:r>
      <w:r w:rsidR="003E2173">
        <w:t>to differentiate between 2RX and 4RX UEs for band n</w:t>
      </w:r>
      <w:proofErr w:type="gramStart"/>
      <w:r w:rsidR="003E2173">
        <w:t xml:space="preserve">104 </w:t>
      </w:r>
      <w:r>
        <w:t>.</w:t>
      </w:r>
      <w:bookmarkEnd w:id="12"/>
      <w:bookmarkEnd w:id="13"/>
      <w:bookmarkEnd w:id="14"/>
      <w:bookmarkEnd w:id="15"/>
      <w:proofErr w:type="gramEnd"/>
      <w:r>
        <w:t xml:space="preserve"> </w:t>
      </w:r>
    </w:p>
    <w:p w14:paraId="490CD241" w14:textId="77777777" w:rsidR="001805FD" w:rsidRDefault="001805FD" w:rsidP="000461D6"/>
    <w:p w14:paraId="4BBE1D51" w14:textId="77777777" w:rsidR="008C64A2" w:rsidRDefault="008C64A2" w:rsidP="000461D6"/>
    <w:p w14:paraId="59D87E4B" w14:textId="7A528B7C" w:rsidR="00F50DE5" w:rsidRDefault="00D808EB" w:rsidP="000461D6">
      <w:r>
        <w:t xml:space="preserve">As an additional note, </w:t>
      </w:r>
      <w:r w:rsidR="001805FD">
        <w:t>TS 38.101-1 sub-clause 7.2 captures information on which NR bands are required to have 4 RX antenna ports. Thus, a small clarification may be needed that band n104 can have 2RX antenna ports.</w:t>
      </w:r>
    </w:p>
    <w:p w14:paraId="5651592F" w14:textId="77777777" w:rsidR="001805FD" w:rsidRPr="001805FD" w:rsidRDefault="001805FD" w:rsidP="001805FD">
      <w:pPr>
        <w:ind w:left="567"/>
        <w:rPr>
          <w:i/>
          <w:iCs/>
        </w:rPr>
      </w:pPr>
      <w:r w:rsidRPr="001805FD">
        <w:rPr>
          <w:i/>
          <w:iCs/>
        </w:rPr>
        <w:t>The UE is required to be equipped with a minimum of two Rx antenna ports in all operating bands except for the bands n7, n38,</w:t>
      </w:r>
      <w:bookmarkStart w:id="16" w:name="_Hlk75461937"/>
      <w:r w:rsidRPr="001805FD">
        <w:rPr>
          <w:i/>
          <w:iCs/>
        </w:rPr>
        <w:t xml:space="preserve"> n41, n48, n77</w:t>
      </w:r>
      <w:bookmarkEnd w:id="16"/>
      <w:r w:rsidRPr="001805FD">
        <w:rPr>
          <w:i/>
          <w:iCs/>
        </w:rPr>
        <w:t>, n78, n79 where the UE is required to be equipped with a minimum of four Rx antenna ports. This requirement applies when the band is used as a standalone band or as part of a band combination.</w:t>
      </w:r>
    </w:p>
    <w:p w14:paraId="53FB9968" w14:textId="44F0F96F" w:rsidR="001805FD" w:rsidRDefault="001805FD" w:rsidP="001805FD">
      <w:pPr>
        <w:pStyle w:val="Proposal"/>
      </w:pPr>
      <w:bookmarkStart w:id="17" w:name="_Toc115431204"/>
      <w:r w:rsidRPr="00AB2852">
        <w:rPr>
          <w:bCs/>
        </w:rPr>
        <w:t>Proposal</w:t>
      </w:r>
      <w:r>
        <w:rPr>
          <w:bCs/>
        </w:rPr>
        <w:t xml:space="preserve"> 2</w:t>
      </w:r>
      <w:r>
        <w:rPr>
          <w:bCs/>
        </w:rPr>
        <w:t>b</w:t>
      </w:r>
      <w:r w:rsidRPr="00AB2852">
        <w:rPr>
          <w:bCs/>
        </w:rPr>
        <w:t>:</w:t>
      </w:r>
      <w:r>
        <w:tab/>
      </w:r>
      <w:r>
        <w:t>We might need a clarification in TS 38.101-1 indicating that a UE supporting band n104 may have 2RX antenna ports.</w:t>
      </w:r>
      <w:bookmarkEnd w:id="17"/>
    </w:p>
    <w:p w14:paraId="51737B63" w14:textId="4656EF8A" w:rsidR="001805FD" w:rsidRDefault="001805FD" w:rsidP="000461D6"/>
    <w:p w14:paraId="10306BD5" w14:textId="2CA59708" w:rsidR="00D808EB" w:rsidRDefault="00D808EB" w:rsidP="000461D6"/>
    <w:p w14:paraId="679FE0C6" w14:textId="77777777" w:rsidR="00D808EB" w:rsidRPr="000461D6" w:rsidRDefault="00D808EB" w:rsidP="000461D6"/>
    <w:p w14:paraId="34C99636" w14:textId="7917B134" w:rsidR="008E7986" w:rsidRDefault="008E7986" w:rsidP="00E27B54">
      <w:pPr>
        <w:pStyle w:val="Heading1"/>
        <w:keepNext w:val="0"/>
        <w:keepLines w:val="0"/>
      </w:pPr>
      <w:r>
        <w:lastRenderedPageBreak/>
        <w:t>3</w:t>
      </w:r>
      <w:r>
        <w:tab/>
        <w:t>Conclusions</w:t>
      </w:r>
    </w:p>
    <w:p w14:paraId="6FF74A57" w14:textId="75798889" w:rsidR="00710FF0" w:rsidRDefault="00BA1A1F" w:rsidP="00710FF0">
      <w:r>
        <w:t xml:space="preserve">In this contribution we </w:t>
      </w:r>
      <w:r w:rsidR="00BF46E7">
        <w:t xml:space="preserve">have presented </w:t>
      </w:r>
      <w:r w:rsidR="0004358D">
        <w:t xml:space="preserve">our </w:t>
      </w:r>
      <w:r w:rsidR="00EB4042">
        <w:t>initial</w:t>
      </w:r>
      <w:r w:rsidR="0004358D">
        <w:t xml:space="preserve"> considerations on </w:t>
      </w:r>
      <w:r w:rsidR="00EB4042">
        <w:t>supporting 2RX for band n104, as was tasked by TSG RAN#97 meeting</w:t>
      </w:r>
      <w:r w:rsidR="0004358D">
        <w:t>.</w:t>
      </w:r>
      <w:r w:rsidR="00EB4042">
        <w:t xml:space="preserve"> Based on our considerations we cannot see any impact to the existing performance requirements. For instance, band n96 already defines performance requirements for 2RX and 4RX devices, and there is no need to change them. As for the signalling impact, the easiest and the most straightforward way will be to leverage existing IE indicating how many RX chains a UE supports. Based on that the network can decide how treat as UE that supports 2RX for band n104.</w:t>
      </w:r>
      <w:r w:rsidR="0004358D">
        <w:t xml:space="preserve"> </w:t>
      </w:r>
    </w:p>
    <w:p w14:paraId="1627BEEA" w14:textId="77777777" w:rsidR="00D808EB" w:rsidRDefault="00710FF0">
      <w:pPr>
        <w:pStyle w:val="TOC1"/>
        <w:rPr>
          <w:rFonts w:asciiTheme="minorHAnsi" w:eastAsiaTheme="minorEastAsia" w:hAnsiTheme="minorHAnsi" w:cstheme="minorBidi"/>
          <w:b w:val="0"/>
          <w:bCs w:val="0"/>
          <w:noProof/>
          <w:sz w:val="24"/>
          <w:szCs w:val="24"/>
          <w:lang w:val="en-DE" w:eastAsia="ko-KR"/>
        </w:rPr>
      </w:pPr>
      <w:r>
        <w:rPr>
          <w:b w:val="0"/>
          <w:bCs w:val="0"/>
        </w:rPr>
        <w:fldChar w:fldCharType="begin"/>
      </w:r>
      <w:r>
        <w:rPr>
          <w:b w:val="0"/>
          <w:bCs w:val="0"/>
        </w:rPr>
        <w:instrText xml:space="preserve"> TOC \n \t "Proposal,1" </w:instrText>
      </w:r>
      <w:r>
        <w:rPr>
          <w:b w:val="0"/>
          <w:bCs w:val="0"/>
        </w:rPr>
        <w:fldChar w:fldCharType="separate"/>
      </w:r>
      <w:r w:rsidR="00D808EB" w:rsidRPr="000D670F">
        <w:rPr>
          <w:noProof/>
        </w:rPr>
        <w:t>Proposal 1a:</w:t>
      </w:r>
      <w:r w:rsidR="00D808EB">
        <w:rPr>
          <w:rFonts w:asciiTheme="minorHAnsi" w:eastAsiaTheme="minorEastAsia" w:hAnsiTheme="minorHAnsi" w:cstheme="minorBidi"/>
          <w:b w:val="0"/>
          <w:bCs w:val="0"/>
          <w:noProof/>
          <w:sz w:val="24"/>
          <w:szCs w:val="24"/>
          <w:lang w:val="en-DE" w:eastAsia="ko-KR"/>
        </w:rPr>
        <w:tab/>
      </w:r>
      <w:r w:rsidR="00D808EB">
        <w:rPr>
          <w:noProof/>
        </w:rPr>
        <w:t>Existing 2RX and 4RX requirements for the unlicensed band n96/n102 remain as they are.</w:t>
      </w:r>
    </w:p>
    <w:p w14:paraId="0DD3CA56" w14:textId="77777777" w:rsidR="00D808EB" w:rsidRDefault="00D808EB">
      <w:pPr>
        <w:pStyle w:val="TOC1"/>
        <w:rPr>
          <w:rFonts w:asciiTheme="minorHAnsi" w:eastAsiaTheme="minorEastAsia" w:hAnsiTheme="minorHAnsi" w:cstheme="minorBidi"/>
          <w:b w:val="0"/>
          <w:bCs w:val="0"/>
          <w:noProof/>
          <w:sz w:val="24"/>
          <w:szCs w:val="24"/>
          <w:lang w:val="en-DE" w:eastAsia="ko-KR"/>
        </w:rPr>
      </w:pPr>
      <w:r>
        <w:rPr>
          <w:noProof/>
        </w:rPr>
        <w:t>Proposal 1b:</w:t>
      </w:r>
      <w:r>
        <w:rPr>
          <w:rFonts w:asciiTheme="minorHAnsi" w:eastAsiaTheme="minorEastAsia" w:hAnsiTheme="minorHAnsi" w:cstheme="minorBidi"/>
          <w:b w:val="0"/>
          <w:bCs w:val="0"/>
          <w:noProof/>
          <w:sz w:val="24"/>
          <w:szCs w:val="24"/>
          <w:lang w:val="en-DE" w:eastAsia="ko-KR"/>
        </w:rPr>
        <w:tab/>
      </w:r>
      <w:r>
        <w:rPr>
          <w:noProof/>
        </w:rPr>
        <w:t>There is no impact to TS 38.101-1 in terms of performance requirements.</w:t>
      </w:r>
    </w:p>
    <w:p w14:paraId="110608FB" w14:textId="77777777" w:rsidR="00D808EB" w:rsidRDefault="00D808EB">
      <w:pPr>
        <w:pStyle w:val="TOC1"/>
        <w:rPr>
          <w:rFonts w:asciiTheme="minorHAnsi" w:eastAsiaTheme="minorEastAsia" w:hAnsiTheme="minorHAnsi" w:cstheme="minorBidi"/>
          <w:b w:val="0"/>
          <w:bCs w:val="0"/>
          <w:noProof/>
          <w:sz w:val="24"/>
          <w:szCs w:val="24"/>
          <w:lang w:val="en-DE" w:eastAsia="ko-KR"/>
        </w:rPr>
      </w:pPr>
      <w:r w:rsidRPr="000D670F">
        <w:rPr>
          <w:noProof/>
        </w:rPr>
        <w:t>Proposal 2a:</w:t>
      </w:r>
      <w:r>
        <w:rPr>
          <w:rFonts w:asciiTheme="minorHAnsi" w:eastAsiaTheme="minorEastAsia" w:hAnsiTheme="minorHAnsi" w:cstheme="minorBidi"/>
          <w:b w:val="0"/>
          <w:bCs w:val="0"/>
          <w:noProof/>
          <w:sz w:val="24"/>
          <w:szCs w:val="24"/>
          <w:lang w:val="en-DE" w:eastAsia="ko-KR"/>
        </w:rPr>
        <w:tab/>
      </w:r>
      <w:r>
        <w:rPr>
          <w:noProof/>
        </w:rPr>
        <w:t xml:space="preserve">The simplest signalling solution is to leverage existing IE </w:t>
      </w:r>
      <w:r w:rsidRPr="000D670F">
        <w:rPr>
          <w:i/>
          <w:iCs/>
          <w:noProof/>
        </w:rPr>
        <w:t>maxNumberMIMO-LayersPDSCH</w:t>
      </w:r>
      <w:r>
        <w:rPr>
          <w:noProof/>
        </w:rPr>
        <w:t xml:space="preserve"> indicating number of RX chains supported by the UE.</w:t>
      </w:r>
    </w:p>
    <w:p w14:paraId="2F934074" w14:textId="77777777" w:rsidR="00D808EB" w:rsidRDefault="00D808EB">
      <w:pPr>
        <w:pStyle w:val="TOC1"/>
        <w:rPr>
          <w:rFonts w:asciiTheme="minorHAnsi" w:eastAsiaTheme="minorEastAsia" w:hAnsiTheme="minorHAnsi" w:cstheme="minorBidi"/>
          <w:b w:val="0"/>
          <w:bCs w:val="0"/>
          <w:noProof/>
          <w:sz w:val="24"/>
          <w:szCs w:val="24"/>
          <w:lang w:val="en-DE" w:eastAsia="ko-KR"/>
        </w:rPr>
      </w:pPr>
      <w:r w:rsidRPr="000D670F">
        <w:rPr>
          <w:noProof/>
        </w:rPr>
        <w:t>Proposal 2b:</w:t>
      </w:r>
      <w:r>
        <w:rPr>
          <w:rFonts w:asciiTheme="minorHAnsi" w:eastAsiaTheme="minorEastAsia" w:hAnsiTheme="minorHAnsi" w:cstheme="minorBidi"/>
          <w:b w:val="0"/>
          <w:bCs w:val="0"/>
          <w:noProof/>
          <w:sz w:val="24"/>
          <w:szCs w:val="24"/>
          <w:lang w:val="en-DE" w:eastAsia="ko-KR"/>
        </w:rPr>
        <w:tab/>
      </w:r>
      <w:r>
        <w:rPr>
          <w:noProof/>
        </w:rPr>
        <w:t>We might need a clarification in TS 38.101-1 indicating that a UE supporting band n104 may have 2RX antenna ports.</w:t>
      </w:r>
    </w:p>
    <w:p w14:paraId="5D2DDC34" w14:textId="3F1C6F9E" w:rsidR="005E69AE" w:rsidRDefault="00710FF0" w:rsidP="00F92298">
      <w:pPr>
        <w:pStyle w:val="Heading1"/>
        <w:keepNext w:val="0"/>
        <w:keepLines w:val="0"/>
        <w:ind w:left="0" w:firstLine="0"/>
      </w:pPr>
      <w:r>
        <w:rPr>
          <w:b/>
          <w:bCs/>
        </w:rPr>
        <w:fldChar w:fldCharType="end"/>
      </w:r>
      <w:r w:rsidR="005E69AE">
        <w:t>4</w:t>
      </w:r>
      <w:r w:rsidR="005E69AE">
        <w:tab/>
        <w:t>References</w:t>
      </w:r>
    </w:p>
    <w:p w14:paraId="28E7D701" w14:textId="59092D06" w:rsidR="009A4498" w:rsidRDefault="00B469CF" w:rsidP="00DE7DA9">
      <w:pPr>
        <w:widowControl w:val="0"/>
        <w:numPr>
          <w:ilvl w:val="0"/>
          <w:numId w:val="10"/>
        </w:numPr>
        <w:spacing w:before="120" w:after="0"/>
        <w:jc w:val="both"/>
      </w:pPr>
      <w:bookmarkStart w:id="18" w:name="_Ref115431793"/>
      <w:bookmarkEnd w:id="0"/>
      <w:r w:rsidRPr="00B469CF">
        <w:t>RP-222361</w:t>
      </w:r>
      <w:r>
        <w:t>, "</w:t>
      </w:r>
      <w:r w:rsidRPr="00B469CF">
        <w:t>Discussion on 4Rx for 6GHz bands</w:t>
      </w:r>
      <w:r>
        <w:t>", vivo</w:t>
      </w:r>
      <w:bookmarkEnd w:id="18"/>
    </w:p>
    <w:p w14:paraId="58FB5AAB" w14:textId="079201AC" w:rsidR="00B469CF" w:rsidRDefault="00B469CF" w:rsidP="00B469CF">
      <w:pPr>
        <w:widowControl w:val="0"/>
        <w:numPr>
          <w:ilvl w:val="0"/>
          <w:numId w:val="10"/>
        </w:numPr>
        <w:spacing w:before="120" w:after="0"/>
        <w:jc w:val="both"/>
      </w:pPr>
      <w:bookmarkStart w:id="19" w:name="_Ref115431796"/>
      <w:r w:rsidRPr="00B469CF">
        <w:t>RP-222511</w:t>
      </w:r>
      <w:r>
        <w:t>, "</w:t>
      </w:r>
      <w:r w:rsidRPr="00B469CF">
        <w:t>4Rx support for 6GHz band n104</w:t>
      </w:r>
      <w:r>
        <w:t xml:space="preserve">", </w:t>
      </w:r>
      <w:r>
        <w:t xml:space="preserve">Huawei, </w:t>
      </w:r>
      <w:proofErr w:type="spellStart"/>
      <w:r>
        <w:t>HiSilicon</w:t>
      </w:r>
      <w:proofErr w:type="spellEnd"/>
      <w:r>
        <w:t>, China Telecom, Orange, Telecom Italia, Telefonica, Bouygues Telecom</w:t>
      </w:r>
      <w:bookmarkEnd w:id="19"/>
    </w:p>
    <w:p w14:paraId="0756E234" w14:textId="28758076" w:rsidR="00B469CF" w:rsidRPr="009A4498" w:rsidRDefault="00B469CF" w:rsidP="00B469CF">
      <w:pPr>
        <w:widowControl w:val="0"/>
        <w:numPr>
          <w:ilvl w:val="0"/>
          <w:numId w:val="10"/>
        </w:numPr>
        <w:spacing w:before="120" w:after="0"/>
        <w:jc w:val="both"/>
      </w:pPr>
      <w:bookmarkStart w:id="20" w:name="_Ref115431814"/>
      <w:r w:rsidRPr="00B469CF">
        <w:t>RP-222684</w:t>
      </w:r>
      <w:r>
        <w:t>, "</w:t>
      </w:r>
      <w:r w:rsidRPr="00B469CF">
        <w:t>Moderator's summary for discussion [97e-29-4Rx-6GHz]</w:t>
      </w:r>
      <w:r>
        <w:t xml:space="preserve">", </w:t>
      </w:r>
      <w:r w:rsidRPr="00B469CF">
        <w:t>RAN vice-chair (AT&amp;T</w:t>
      </w:r>
      <w:r>
        <w:t>)</w:t>
      </w:r>
      <w:bookmarkEnd w:id="20"/>
    </w:p>
    <w:sectPr w:rsidR="00B469CF" w:rsidRPr="009A4498" w:rsidSect="00266708">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0ED51" w14:textId="77777777" w:rsidR="00AC268E" w:rsidRDefault="00AC268E">
      <w:r>
        <w:separator/>
      </w:r>
    </w:p>
  </w:endnote>
  <w:endnote w:type="continuationSeparator" w:id="0">
    <w:p w14:paraId="37E21723" w14:textId="77777777" w:rsidR="00AC268E" w:rsidRDefault="00AC2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86782" w14:textId="77777777" w:rsidR="00AC268E" w:rsidRDefault="00AC268E">
      <w:r>
        <w:separator/>
      </w:r>
    </w:p>
  </w:footnote>
  <w:footnote w:type="continuationSeparator" w:id="0">
    <w:p w14:paraId="153D9940" w14:textId="77777777" w:rsidR="00AC268E" w:rsidRDefault="00AC26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84416A6"/>
    <w:multiLevelType w:val="hybridMultilevel"/>
    <w:tmpl w:val="13E6DEBE"/>
    <w:lvl w:ilvl="0" w:tplc="6E30A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763353D"/>
    <w:multiLevelType w:val="hybridMultilevel"/>
    <w:tmpl w:val="C186A4DA"/>
    <w:lvl w:ilvl="0" w:tplc="79CE446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BAE48E1"/>
    <w:multiLevelType w:val="hybridMultilevel"/>
    <w:tmpl w:val="3FA4DB5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5821565"/>
    <w:multiLevelType w:val="hybridMultilevel"/>
    <w:tmpl w:val="401E1D24"/>
    <w:lvl w:ilvl="0" w:tplc="334AEC0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5A7D4642"/>
    <w:multiLevelType w:val="hybridMultilevel"/>
    <w:tmpl w:val="0DD4D01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7240B0B"/>
    <w:multiLevelType w:val="hybridMultilevel"/>
    <w:tmpl w:val="C43604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F653783"/>
    <w:multiLevelType w:val="hybridMultilevel"/>
    <w:tmpl w:val="38EE6A7E"/>
    <w:lvl w:ilvl="0" w:tplc="CADAAA9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1369486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9086268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47719454">
    <w:abstractNumId w:val="1"/>
  </w:num>
  <w:num w:numId="4" w16cid:durableId="1460763178">
    <w:abstractNumId w:val="13"/>
  </w:num>
  <w:num w:numId="5" w16cid:durableId="169494790">
    <w:abstractNumId w:val="2"/>
  </w:num>
  <w:num w:numId="6" w16cid:durableId="294530613">
    <w:abstractNumId w:val="2"/>
  </w:num>
  <w:num w:numId="7" w16cid:durableId="1710109099">
    <w:abstractNumId w:val="8"/>
  </w:num>
  <w:num w:numId="8" w16cid:durableId="1283611662">
    <w:abstractNumId w:val="4"/>
  </w:num>
  <w:num w:numId="9" w16cid:durableId="1926184912">
    <w:abstractNumId w:val="3"/>
  </w:num>
  <w:num w:numId="10" w16cid:durableId="741755445">
    <w:abstractNumId w:val="6"/>
  </w:num>
  <w:num w:numId="11" w16cid:durableId="1612282381">
    <w:abstractNumId w:val="11"/>
  </w:num>
  <w:num w:numId="12" w16cid:durableId="1326392767">
    <w:abstractNumId w:val="9"/>
  </w:num>
  <w:num w:numId="13" w16cid:durableId="1798838092">
    <w:abstractNumId w:val="12"/>
  </w:num>
  <w:num w:numId="14" w16cid:durableId="1909414664">
    <w:abstractNumId w:val="10"/>
  </w:num>
  <w:num w:numId="15" w16cid:durableId="104732424">
    <w:abstractNumId w:val="14"/>
  </w:num>
  <w:num w:numId="16" w16cid:durableId="275143171">
    <w:abstractNumId w:val="7"/>
  </w:num>
  <w:num w:numId="17" w16cid:durableId="19157636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4A3"/>
    <w:rsid w:val="00002B84"/>
    <w:rsid w:val="000037B7"/>
    <w:rsid w:val="00004C0C"/>
    <w:rsid w:val="000051B7"/>
    <w:rsid w:val="0000727F"/>
    <w:rsid w:val="00013D4E"/>
    <w:rsid w:val="0001647F"/>
    <w:rsid w:val="000168FE"/>
    <w:rsid w:val="00022584"/>
    <w:rsid w:val="00025132"/>
    <w:rsid w:val="00031385"/>
    <w:rsid w:val="0003171C"/>
    <w:rsid w:val="00033397"/>
    <w:rsid w:val="000345FE"/>
    <w:rsid w:val="00040095"/>
    <w:rsid w:val="00043006"/>
    <w:rsid w:val="0004358D"/>
    <w:rsid w:val="00044C34"/>
    <w:rsid w:val="000461D6"/>
    <w:rsid w:val="00050D5E"/>
    <w:rsid w:val="00051834"/>
    <w:rsid w:val="000518D2"/>
    <w:rsid w:val="00052D38"/>
    <w:rsid w:val="00054A22"/>
    <w:rsid w:val="00062023"/>
    <w:rsid w:val="000629F8"/>
    <w:rsid w:val="00062B99"/>
    <w:rsid w:val="000655A6"/>
    <w:rsid w:val="00070D52"/>
    <w:rsid w:val="0007444D"/>
    <w:rsid w:val="00074CD5"/>
    <w:rsid w:val="0007793C"/>
    <w:rsid w:val="00080512"/>
    <w:rsid w:val="00084DB8"/>
    <w:rsid w:val="000917BE"/>
    <w:rsid w:val="00094907"/>
    <w:rsid w:val="00096C65"/>
    <w:rsid w:val="00097A46"/>
    <w:rsid w:val="000A365D"/>
    <w:rsid w:val="000A36E3"/>
    <w:rsid w:val="000A44B6"/>
    <w:rsid w:val="000A530C"/>
    <w:rsid w:val="000A6237"/>
    <w:rsid w:val="000A68F3"/>
    <w:rsid w:val="000B0001"/>
    <w:rsid w:val="000B3699"/>
    <w:rsid w:val="000B5B22"/>
    <w:rsid w:val="000B6FC9"/>
    <w:rsid w:val="000C023C"/>
    <w:rsid w:val="000C1958"/>
    <w:rsid w:val="000C2808"/>
    <w:rsid w:val="000C47C3"/>
    <w:rsid w:val="000C6078"/>
    <w:rsid w:val="000D58AB"/>
    <w:rsid w:val="000E023D"/>
    <w:rsid w:val="000E2600"/>
    <w:rsid w:val="000E3ACF"/>
    <w:rsid w:val="000E55BB"/>
    <w:rsid w:val="000F5F19"/>
    <w:rsid w:val="001032BC"/>
    <w:rsid w:val="001035A8"/>
    <w:rsid w:val="001040F4"/>
    <w:rsid w:val="00104216"/>
    <w:rsid w:val="00104BC6"/>
    <w:rsid w:val="001064E7"/>
    <w:rsid w:val="00106D24"/>
    <w:rsid w:val="0011478B"/>
    <w:rsid w:val="00114E2C"/>
    <w:rsid w:val="00115165"/>
    <w:rsid w:val="00115A87"/>
    <w:rsid w:val="00120DC1"/>
    <w:rsid w:val="00131646"/>
    <w:rsid w:val="00132C7D"/>
    <w:rsid w:val="00133525"/>
    <w:rsid w:val="001378AC"/>
    <w:rsid w:val="00141DDF"/>
    <w:rsid w:val="00141F54"/>
    <w:rsid w:val="001502E3"/>
    <w:rsid w:val="00150344"/>
    <w:rsid w:val="001527DF"/>
    <w:rsid w:val="00157A64"/>
    <w:rsid w:val="00161A9C"/>
    <w:rsid w:val="00162B64"/>
    <w:rsid w:val="00164651"/>
    <w:rsid w:val="00167585"/>
    <w:rsid w:val="00171755"/>
    <w:rsid w:val="00176C55"/>
    <w:rsid w:val="00177BF7"/>
    <w:rsid w:val="001805FD"/>
    <w:rsid w:val="0018138C"/>
    <w:rsid w:val="00187472"/>
    <w:rsid w:val="00191E85"/>
    <w:rsid w:val="001932FD"/>
    <w:rsid w:val="001940D3"/>
    <w:rsid w:val="001958D9"/>
    <w:rsid w:val="00197FDE"/>
    <w:rsid w:val="001A07BC"/>
    <w:rsid w:val="001A1D47"/>
    <w:rsid w:val="001A249A"/>
    <w:rsid w:val="001A3E01"/>
    <w:rsid w:val="001A4C42"/>
    <w:rsid w:val="001A5579"/>
    <w:rsid w:val="001A5C32"/>
    <w:rsid w:val="001B1977"/>
    <w:rsid w:val="001B34D7"/>
    <w:rsid w:val="001B350C"/>
    <w:rsid w:val="001B55F3"/>
    <w:rsid w:val="001B6C60"/>
    <w:rsid w:val="001C0F97"/>
    <w:rsid w:val="001C21C3"/>
    <w:rsid w:val="001C61FB"/>
    <w:rsid w:val="001C7DF0"/>
    <w:rsid w:val="001C7E8C"/>
    <w:rsid w:val="001D02C2"/>
    <w:rsid w:val="001D03D7"/>
    <w:rsid w:val="001D12EE"/>
    <w:rsid w:val="001D3AF9"/>
    <w:rsid w:val="001D6FE0"/>
    <w:rsid w:val="001E4F2C"/>
    <w:rsid w:val="001E5019"/>
    <w:rsid w:val="001F0C1D"/>
    <w:rsid w:val="001F1132"/>
    <w:rsid w:val="001F168B"/>
    <w:rsid w:val="001F5781"/>
    <w:rsid w:val="001F7D60"/>
    <w:rsid w:val="001F7F82"/>
    <w:rsid w:val="00200328"/>
    <w:rsid w:val="00203852"/>
    <w:rsid w:val="00203F71"/>
    <w:rsid w:val="00205BC2"/>
    <w:rsid w:val="002126D4"/>
    <w:rsid w:val="00215DAD"/>
    <w:rsid w:val="0021693C"/>
    <w:rsid w:val="00226FDE"/>
    <w:rsid w:val="002347A2"/>
    <w:rsid w:val="00234E81"/>
    <w:rsid w:val="002361C7"/>
    <w:rsid w:val="00236B75"/>
    <w:rsid w:val="002430C5"/>
    <w:rsid w:val="002448D4"/>
    <w:rsid w:val="00247926"/>
    <w:rsid w:val="00250D2B"/>
    <w:rsid w:val="00252476"/>
    <w:rsid w:val="00252C28"/>
    <w:rsid w:val="00254618"/>
    <w:rsid w:val="0025773F"/>
    <w:rsid w:val="002616A3"/>
    <w:rsid w:val="002649BE"/>
    <w:rsid w:val="00266708"/>
    <w:rsid w:val="00266CEF"/>
    <w:rsid w:val="002675F0"/>
    <w:rsid w:val="00274A8B"/>
    <w:rsid w:val="00274D31"/>
    <w:rsid w:val="002757CD"/>
    <w:rsid w:val="00276720"/>
    <w:rsid w:val="00276EE4"/>
    <w:rsid w:val="00282556"/>
    <w:rsid w:val="0028458C"/>
    <w:rsid w:val="00285549"/>
    <w:rsid w:val="00285594"/>
    <w:rsid w:val="00285B74"/>
    <w:rsid w:val="00293E94"/>
    <w:rsid w:val="002A006D"/>
    <w:rsid w:val="002A02C9"/>
    <w:rsid w:val="002A1794"/>
    <w:rsid w:val="002A3F44"/>
    <w:rsid w:val="002A4457"/>
    <w:rsid w:val="002A76C8"/>
    <w:rsid w:val="002A79F8"/>
    <w:rsid w:val="002B1504"/>
    <w:rsid w:val="002B4A66"/>
    <w:rsid w:val="002B6339"/>
    <w:rsid w:val="002C0295"/>
    <w:rsid w:val="002C3FD9"/>
    <w:rsid w:val="002C5A06"/>
    <w:rsid w:val="002D207F"/>
    <w:rsid w:val="002D5492"/>
    <w:rsid w:val="002E00EE"/>
    <w:rsid w:val="002E2311"/>
    <w:rsid w:val="002E24A2"/>
    <w:rsid w:val="002E2B0B"/>
    <w:rsid w:val="002E4080"/>
    <w:rsid w:val="002E4A88"/>
    <w:rsid w:val="002F6BE3"/>
    <w:rsid w:val="002F6F2B"/>
    <w:rsid w:val="002F747C"/>
    <w:rsid w:val="003028E3"/>
    <w:rsid w:val="0030293A"/>
    <w:rsid w:val="00304745"/>
    <w:rsid w:val="00304790"/>
    <w:rsid w:val="00304BAC"/>
    <w:rsid w:val="00305671"/>
    <w:rsid w:val="00305920"/>
    <w:rsid w:val="00305BA6"/>
    <w:rsid w:val="00312F3B"/>
    <w:rsid w:val="003131E0"/>
    <w:rsid w:val="0031353C"/>
    <w:rsid w:val="003136A6"/>
    <w:rsid w:val="00316AE1"/>
    <w:rsid w:val="003172DC"/>
    <w:rsid w:val="003224F0"/>
    <w:rsid w:val="00322C0B"/>
    <w:rsid w:val="00323B17"/>
    <w:rsid w:val="00334135"/>
    <w:rsid w:val="00334617"/>
    <w:rsid w:val="00335709"/>
    <w:rsid w:val="003378AE"/>
    <w:rsid w:val="00340356"/>
    <w:rsid w:val="0034052F"/>
    <w:rsid w:val="003424A2"/>
    <w:rsid w:val="00342BE4"/>
    <w:rsid w:val="00344627"/>
    <w:rsid w:val="0034487F"/>
    <w:rsid w:val="00344A6C"/>
    <w:rsid w:val="00345757"/>
    <w:rsid w:val="00351143"/>
    <w:rsid w:val="0035462D"/>
    <w:rsid w:val="003601DF"/>
    <w:rsid w:val="00362028"/>
    <w:rsid w:val="0036230A"/>
    <w:rsid w:val="00362D35"/>
    <w:rsid w:val="00364C39"/>
    <w:rsid w:val="00364DB5"/>
    <w:rsid w:val="00370606"/>
    <w:rsid w:val="003709D1"/>
    <w:rsid w:val="003727D1"/>
    <w:rsid w:val="0037554F"/>
    <w:rsid w:val="003765B8"/>
    <w:rsid w:val="00376964"/>
    <w:rsid w:val="00376ADC"/>
    <w:rsid w:val="00383354"/>
    <w:rsid w:val="00384E9E"/>
    <w:rsid w:val="0039394E"/>
    <w:rsid w:val="00395441"/>
    <w:rsid w:val="00396119"/>
    <w:rsid w:val="003A02EE"/>
    <w:rsid w:val="003A0483"/>
    <w:rsid w:val="003A5C0D"/>
    <w:rsid w:val="003A6046"/>
    <w:rsid w:val="003B5ABB"/>
    <w:rsid w:val="003B5C85"/>
    <w:rsid w:val="003B6864"/>
    <w:rsid w:val="003C3971"/>
    <w:rsid w:val="003C65F9"/>
    <w:rsid w:val="003C770A"/>
    <w:rsid w:val="003D17F9"/>
    <w:rsid w:val="003D71CA"/>
    <w:rsid w:val="003E2173"/>
    <w:rsid w:val="003E249B"/>
    <w:rsid w:val="003E390C"/>
    <w:rsid w:val="003E7753"/>
    <w:rsid w:val="003F0BEA"/>
    <w:rsid w:val="003F72AE"/>
    <w:rsid w:val="00400A77"/>
    <w:rsid w:val="004012FF"/>
    <w:rsid w:val="00410303"/>
    <w:rsid w:val="004154B2"/>
    <w:rsid w:val="004161BB"/>
    <w:rsid w:val="00417590"/>
    <w:rsid w:val="0042139E"/>
    <w:rsid w:val="00421933"/>
    <w:rsid w:val="00423334"/>
    <w:rsid w:val="00425453"/>
    <w:rsid w:val="004313FE"/>
    <w:rsid w:val="00434540"/>
    <w:rsid w:val="004345EC"/>
    <w:rsid w:val="0043548D"/>
    <w:rsid w:val="00443B1F"/>
    <w:rsid w:val="004509C1"/>
    <w:rsid w:val="0045109D"/>
    <w:rsid w:val="004517D4"/>
    <w:rsid w:val="00453AE1"/>
    <w:rsid w:val="00461B71"/>
    <w:rsid w:val="00463255"/>
    <w:rsid w:val="004634D0"/>
    <w:rsid w:val="00476248"/>
    <w:rsid w:val="004773D7"/>
    <w:rsid w:val="004826A9"/>
    <w:rsid w:val="004837BD"/>
    <w:rsid w:val="004849AB"/>
    <w:rsid w:val="00486244"/>
    <w:rsid w:val="00487E97"/>
    <w:rsid w:val="0049129B"/>
    <w:rsid w:val="00497654"/>
    <w:rsid w:val="004A20F8"/>
    <w:rsid w:val="004A37DE"/>
    <w:rsid w:val="004A409A"/>
    <w:rsid w:val="004A75A2"/>
    <w:rsid w:val="004B09FC"/>
    <w:rsid w:val="004B3E42"/>
    <w:rsid w:val="004B502F"/>
    <w:rsid w:val="004B6798"/>
    <w:rsid w:val="004C0A2E"/>
    <w:rsid w:val="004C1601"/>
    <w:rsid w:val="004C3099"/>
    <w:rsid w:val="004C3C3E"/>
    <w:rsid w:val="004C7B37"/>
    <w:rsid w:val="004D3578"/>
    <w:rsid w:val="004D643A"/>
    <w:rsid w:val="004E03A8"/>
    <w:rsid w:val="004E213A"/>
    <w:rsid w:val="004E2D77"/>
    <w:rsid w:val="004E5570"/>
    <w:rsid w:val="004E5703"/>
    <w:rsid w:val="004E7FD6"/>
    <w:rsid w:val="004F0988"/>
    <w:rsid w:val="004F0E8D"/>
    <w:rsid w:val="004F29F1"/>
    <w:rsid w:val="004F3340"/>
    <w:rsid w:val="004F3E3D"/>
    <w:rsid w:val="004F409D"/>
    <w:rsid w:val="004F6857"/>
    <w:rsid w:val="004F7B0A"/>
    <w:rsid w:val="00507DB2"/>
    <w:rsid w:val="00513C82"/>
    <w:rsid w:val="00514C6F"/>
    <w:rsid w:val="005167FF"/>
    <w:rsid w:val="00517C50"/>
    <w:rsid w:val="00521C1D"/>
    <w:rsid w:val="00523464"/>
    <w:rsid w:val="00524449"/>
    <w:rsid w:val="00524FC0"/>
    <w:rsid w:val="005331B6"/>
    <w:rsid w:val="0053388B"/>
    <w:rsid w:val="00534663"/>
    <w:rsid w:val="00535773"/>
    <w:rsid w:val="00535820"/>
    <w:rsid w:val="00535EF5"/>
    <w:rsid w:val="0053790B"/>
    <w:rsid w:val="00542A68"/>
    <w:rsid w:val="00543E6C"/>
    <w:rsid w:val="005527B2"/>
    <w:rsid w:val="00554492"/>
    <w:rsid w:val="005618B2"/>
    <w:rsid w:val="00565087"/>
    <w:rsid w:val="00570395"/>
    <w:rsid w:val="0057261C"/>
    <w:rsid w:val="00572A94"/>
    <w:rsid w:val="00572E14"/>
    <w:rsid w:val="00574533"/>
    <w:rsid w:val="005749D6"/>
    <w:rsid w:val="005759F9"/>
    <w:rsid w:val="005767D7"/>
    <w:rsid w:val="00580736"/>
    <w:rsid w:val="0058139F"/>
    <w:rsid w:val="005837C8"/>
    <w:rsid w:val="005861FD"/>
    <w:rsid w:val="00590D4B"/>
    <w:rsid w:val="0059102D"/>
    <w:rsid w:val="00591D64"/>
    <w:rsid w:val="00592DE0"/>
    <w:rsid w:val="00594E31"/>
    <w:rsid w:val="0059619E"/>
    <w:rsid w:val="005973BE"/>
    <w:rsid w:val="005A2B88"/>
    <w:rsid w:val="005A49AA"/>
    <w:rsid w:val="005A589B"/>
    <w:rsid w:val="005A5986"/>
    <w:rsid w:val="005B1383"/>
    <w:rsid w:val="005B2B6A"/>
    <w:rsid w:val="005B35AC"/>
    <w:rsid w:val="005C13CE"/>
    <w:rsid w:val="005C5712"/>
    <w:rsid w:val="005C7A1C"/>
    <w:rsid w:val="005D0294"/>
    <w:rsid w:val="005D27B5"/>
    <w:rsid w:val="005D2E01"/>
    <w:rsid w:val="005D3EF2"/>
    <w:rsid w:val="005D4624"/>
    <w:rsid w:val="005D52B4"/>
    <w:rsid w:val="005D5BCA"/>
    <w:rsid w:val="005D74B1"/>
    <w:rsid w:val="005D7526"/>
    <w:rsid w:val="005E0910"/>
    <w:rsid w:val="005E1597"/>
    <w:rsid w:val="005E1B49"/>
    <w:rsid w:val="005E5E5E"/>
    <w:rsid w:val="005E69AE"/>
    <w:rsid w:val="005F3D61"/>
    <w:rsid w:val="005F3E4E"/>
    <w:rsid w:val="005F3F68"/>
    <w:rsid w:val="005F5463"/>
    <w:rsid w:val="005F6F36"/>
    <w:rsid w:val="005F7035"/>
    <w:rsid w:val="00602AEA"/>
    <w:rsid w:val="00602B89"/>
    <w:rsid w:val="006045A9"/>
    <w:rsid w:val="00605BFC"/>
    <w:rsid w:val="00607E3C"/>
    <w:rsid w:val="00610C3C"/>
    <w:rsid w:val="00614E37"/>
    <w:rsid w:val="00614FDF"/>
    <w:rsid w:val="00621074"/>
    <w:rsid w:val="006212AD"/>
    <w:rsid w:val="006246A7"/>
    <w:rsid w:val="0062559E"/>
    <w:rsid w:val="0062595A"/>
    <w:rsid w:val="00632725"/>
    <w:rsid w:val="0063543D"/>
    <w:rsid w:val="0063688C"/>
    <w:rsid w:val="006369F5"/>
    <w:rsid w:val="00645891"/>
    <w:rsid w:val="00645B80"/>
    <w:rsid w:val="00647114"/>
    <w:rsid w:val="00650334"/>
    <w:rsid w:val="00651321"/>
    <w:rsid w:val="0065163B"/>
    <w:rsid w:val="00652E54"/>
    <w:rsid w:val="006633B2"/>
    <w:rsid w:val="0066728F"/>
    <w:rsid w:val="0067193B"/>
    <w:rsid w:val="00673EF2"/>
    <w:rsid w:val="00676AE9"/>
    <w:rsid w:val="00677B76"/>
    <w:rsid w:val="006800C1"/>
    <w:rsid w:val="00690747"/>
    <w:rsid w:val="006908FD"/>
    <w:rsid w:val="00691014"/>
    <w:rsid w:val="00692A5E"/>
    <w:rsid w:val="00695ACB"/>
    <w:rsid w:val="006974B3"/>
    <w:rsid w:val="006A323F"/>
    <w:rsid w:val="006A36C5"/>
    <w:rsid w:val="006A4C43"/>
    <w:rsid w:val="006B30D0"/>
    <w:rsid w:val="006B4030"/>
    <w:rsid w:val="006B5B6C"/>
    <w:rsid w:val="006C351C"/>
    <w:rsid w:val="006C3B46"/>
    <w:rsid w:val="006C3D95"/>
    <w:rsid w:val="006C5CE0"/>
    <w:rsid w:val="006D012B"/>
    <w:rsid w:val="006D21E5"/>
    <w:rsid w:val="006D4FA8"/>
    <w:rsid w:val="006D7439"/>
    <w:rsid w:val="006E0326"/>
    <w:rsid w:val="006E2D06"/>
    <w:rsid w:val="006E58C5"/>
    <w:rsid w:val="006E5C86"/>
    <w:rsid w:val="006E6B67"/>
    <w:rsid w:val="006F0D19"/>
    <w:rsid w:val="006F32C4"/>
    <w:rsid w:val="006F4483"/>
    <w:rsid w:val="006F7A0B"/>
    <w:rsid w:val="00700CF5"/>
    <w:rsid w:val="00701BF6"/>
    <w:rsid w:val="00703061"/>
    <w:rsid w:val="0070448F"/>
    <w:rsid w:val="00710A96"/>
    <w:rsid w:val="00710FF0"/>
    <w:rsid w:val="00712B43"/>
    <w:rsid w:val="00713C44"/>
    <w:rsid w:val="007142E1"/>
    <w:rsid w:val="0071576F"/>
    <w:rsid w:val="007179FA"/>
    <w:rsid w:val="0072158E"/>
    <w:rsid w:val="00723101"/>
    <w:rsid w:val="0072360F"/>
    <w:rsid w:val="00724089"/>
    <w:rsid w:val="00724176"/>
    <w:rsid w:val="007275C9"/>
    <w:rsid w:val="00730928"/>
    <w:rsid w:val="00730ED4"/>
    <w:rsid w:val="00734A5B"/>
    <w:rsid w:val="007355A9"/>
    <w:rsid w:val="00735B80"/>
    <w:rsid w:val="0074026F"/>
    <w:rsid w:val="007413C5"/>
    <w:rsid w:val="007429F6"/>
    <w:rsid w:val="0074370B"/>
    <w:rsid w:val="00743EF3"/>
    <w:rsid w:val="00744E76"/>
    <w:rsid w:val="0074731F"/>
    <w:rsid w:val="007476B8"/>
    <w:rsid w:val="00751C51"/>
    <w:rsid w:val="00752198"/>
    <w:rsid w:val="00753881"/>
    <w:rsid w:val="00754D1F"/>
    <w:rsid w:val="007579E3"/>
    <w:rsid w:val="00764DB5"/>
    <w:rsid w:val="007655D5"/>
    <w:rsid w:val="00771457"/>
    <w:rsid w:val="007716DF"/>
    <w:rsid w:val="00774DA4"/>
    <w:rsid w:val="00776727"/>
    <w:rsid w:val="00780A98"/>
    <w:rsid w:val="00781F0F"/>
    <w:rsid w:val="007822F4"/>
    <w:rsid w:val="00783C23"/>
    <w:rsid w:val="00784869"/>
    <w:rsid w:val="00787E1C"/>
    <w:rsid w:val="0079328F"/>
    <w:rsid w:val="00796F12"/>
    <w:rsid w:val="007A10B1"/>
    <w:rsid w:val="007A5A83"/>
    <w:rsid w:val="007B36EA"/>
    <w:rsid w:val="007B600E"/>
    <w:rsid w:val="007B7D7C"/>
    <w:rsid w:val="007C2BB0"/>
    <w:rsid w:val="007C2CD5"/>
    <w:rsid w:val="007C5B26"/>
    <w:rsid w:val="007C7470"/>
    <w:rsid w:val="007D2FB8"/>
    <w:rsid w:val="007D72F1"/>
    <w:rsid w:val="007D7A9D"/>
    <w:rsid w:val="007E0E3E"/>
    <w:rsid w:val="007E306E"/>
    <w:rsid w:val="007E70B8"/>
    <w:rsid w:val="007E760E"/>
    <w:rsid w:val="007F0F4A"/>
    <w:rsid w:val="007F3A6D"/>
    <w:rsid w:val="007F3DA2"/>
    <w:rsid w:val="007F4E21"/>
    <w:rsid w:val="007F56FF"/>
    <w:rsid w:val="0080113F"/>
    <w:rsid w:val="00802301"/>
    <w:rsid w:val="008028A4"/>
    <w:rsid w:val="0080340B"/>
    <w:rsid w:val="0080746B"/>
    <w:rsid w:val="00812B52"/>
    <w:rsid w:val="00820B25"/>
    <w:rsid w:val="00823B74"/>
    <w:rsid w:val="00824904"/>
    <w:rsid w:val="008272CE"/>
    <w:rsid w:val="00830747"/>
    <w:rsid w:val="008321F9"/>
    <w:rsid w:val="00832C64"/>
    <w:rsid w:val="0083542B"/>
    <w:rsid w:val="008424AC"/>
    <w:rsid w:val="0085063B"/>
    <w:rsid w:val="00850700"/>
    <w:rsid w:val="00850EF7"/>
    <w:rsid w:val="00854961"/>
    <w:rsid w:val="008621D8"/>
    <w:rsid w:val="00866877"/>
    <w:rsid w:val="00866E39"/>
    <w:rsid w:val="008767B0"/>
    <w:rsid w:val="008768CA"/>
    <w:rsid w:val="00883455"/>
    <w:rsid w:val="008843A2"/>
    <w:rsid w:val="00892A92"/>
    <w:rsid w:val="00896799"/>
    <w:rsid w:val="008974EF"/>
    <w:rsid w:val="008A460F"/>
    <w:rsid w:val="008A485A"/>
    <w:rsid w:val="008A7859"/>
    <w:rsid w:val="008A787C"/>
    <w:rsid w:val="008A7A83"/>
    <w:rsid w:val="008B209A"/>
    <w:rsid w:val="008B289B"/>
    <w:rsid w:val="008B6A59"/>
    <w:rsid w:val="008C1CE0"/>
    <w:rsid w:val="008C2C40"/>
    <w:rsid w:val="008C384C"/>
    <w:rsid w:val="008C45AE"/>
    <w:rsid w:val="008C64A2"/>
    <w:rsid w:val="008D1D1C"/>
    <w:rsid w:val="008E274F"/>
    <w:rsid w:val="008E7986"/>
    <w:rsid w:val="008F0D3D"/>
    <w:rsid w:val="008F2044"/>
    <w:rsid w:val="008F3CDD"/>
    <w:rsid w:val="0090271F"/>
    <w:rsid w:val="00902E23"/>
    <w:rsid w:val="009035DB"/>
    <w:rsid w:val="00903EF6"/>
    <w:rsid w:val="009071D8"/>
    <w:rsid w:val="009076EE"/>
    <w:rsid w:val="009106BD"/>
    <w:rsid w:val="00910BC7"/>
    <w:rsid w:val="009114D7"/>
    <w:rsid w:val="00912C69"/>
    <w:rsid w:val="0091348E"/>
    <w:rsid w:val="00913AC2"/>
    <w:rsid w:val="00914DDA"/>
    <w:rsid w:val="00917CCB"/>
    <w:rsid w:val="009205B7"/>
    <w:rsid w:val="00920C02"/>
    <w:rsid w:val="00922D05"/>
    <w:rsid w:val="009279B4"/>
    <w:rsid w:val="00931553"/>
    <w:rsid w:val="00934F06"/>
    <w:rsid w:val="00935D71"/>
    <w:rsid w:val="00940260"/>
    <w:rsid w:val="00940D43"/>
    <w:rsid w:val="009415AC"/>
    <w:rsid w:val="00942EC2"/>
    <w:rsid w:val="00945B01"/>
    <w:rsid w:val="009516F6"/>
    <w:rsid w:val="00955C25"/>
    <w:rsid w:val="0095641F"/>
    <w:rsid w:val="00960253"/>
    <w:rsid w:val="00960279"/>
    <w:rsid w:val="00960E66"/>
    <w:rsid w:val="00962864"/>
    <w:rsid w:val="00967996"/>
    <w:rsid w:val="0097119D"/>
    <w:rsid w:val="00983F34"/>
    <w:rsid w:val="009854FC"/>
    <w:rsid w:val="009860B5"/>
    <w:rsid w:val="009872C5"/>
    <w:rsid w:val="009910D7"/>
    <w:rsid w:val="0099175A"/>
    <w:rsid w:val="00992F90"/>
    <w:rsid w:val="009945E1"/>
    <w:rsid w:val="00994916"/>
    <w:rsid w:val="009A4498"/>
    <w:rsid w:val="009B2332"/>
    <w:rsid w:val="009C067E"/>
    <w:rsid w:val="009C2464"/>
    <w:rsid w:val="009C2C1B"/>
    <w:rsid w:val="009D2CB7"/>
    <w:rsid w:val="009D3B48"/>
    <w:rsid w:val="009D3F00"/>
    <w:rsid w:val="009D69FC"/>
    <w:rsid w:val="009E08B6"/>
    <w:rsid w:val="009E0907"/>
    <w:rsid w:val="009E171C"/>
    <w:rsid w:val="009E3057"/>
    <w:rsid w:val="009E4032"/>
    <w:rsid w:val="009E7750"/>
    <w:rsid w:val="009E7DEF"/>
    <w:rsid w:val="009F37B7"/>
    <w:rsid w:val="009F5009"/>
    <w:rsid w:val="009F55B3"/>
    <w:rsid w:val="009F5E43"/>
    <w:rsid w:val="009F6E2F"/>
    <w:rsid w:val="00A01247"/>
    <w:rsid w:val="00A01556"/>
    <w:rsid w:val="00A05AB6"/>
    <w:rsid w:val="00A06A65"/>
    <w:rsid w:val="00A103D8"/>
    <w:rsid w:val="00A10F02"/>
    <w:rsid w:val="00A12136"/>
    <w:rsid w:val="00A15BD4"/>
    <w:rsid w:val="00A164B4"/>
    <w:rsid w:val="00A167A2"/>
    <w:rsid w:val="00A1751A"/>
    <w:rsid w:val="00A200FA"/>
    <w:rsid w:val="00A20B73"/>
    <w:rsid w:val="00A23E4F"/>
    <w:rsid w:val="00A26956"/>
    <w:rsid w:val="00A26B8E"/>
    <w:rsid w:val="00A309A6"/>
    <w:rsid w:val="00A32451"/>
    <w:rsid w:val="00A36FDF"/>
    <w:rsid w:val="00A42D4C"/>
    <w:rsid w:val="00A52241"/>
    <w:rsid w:val="00A53724"/>
    <w:rsid w:val="00A556DB"/>
    <w:rsid w:val="00A557F0"/>
    <w:rsid w:val="00A65D08"/>
    <w:rsid w:val="00A73129"/>
    <w:rsid w:val="00A801B4"/>
    <w:rsid w:val="00A81515"/>
    <w:rsid w:val="00A82346"/>
    <w:rsid w:val="00A83830"/>
    <w:rsid w:val="00A86DA6"/>
    <w:rsid w:val="00A90AB9"/>
    <w:rsid w:val="00A92BA1"/>
    <w:rsid w:val="00A93F67"/>
    <w:rsid w:val="00AA391B"/>
    <w:rsid w:val="00AB0582"/>
    <w:rsid w:val="00AB0E32"/>
    <w:rsid w:val="00AB1497"/>
    <w:rsid w:val="00AB2852"/>
    <w:rsid w:val="00AC176F"/>
    <w:rsid w:val="00AC268E"/>
    <w:rsid w:val="00AC30FF"/>
    <w:rsid w:val="00AC4677"/>
    <w:rsid w:val="00AC6BC6"/>
    <w:rsid w:val="00AD30A9"/>
    <w:rsid w:val="00AD7733"/>
    <w:rsid w:val="00AE0016"/>
    <w:rsid w:val="00AE24D1"/>
    <w:rsid w:val="00AE3797"/>
    <w:rsid w:val="00AE6DAB"/>
    <w:rsid w:val="00AF0800"/>
    <w:rsid w:val="00AF4E68"/>
    <w:rsid w:val="00AF6C6F"/>
    <w:rsid w:val="00B00E8A"/>
    <w:rsid w:val="00B01C1E"/>
    <w:rsid w:val="00B15449"/>
    <w:rsid w:val="00B23CAC"/>
    <w:rsid w:val="00B23FC5"/>
    <w:rsid w:val="00B30E18"/>
    <w:rsid w:val="00B31AF8"/>
    <w:rsid w:val="00B31EAB"/>
    <w:rsid w:val="00B3233D"/>
    <w:rsid w:val="00B3313E"/>
    <w:rsid w:val="00B35701"/>
    <w:rsid w:val="00B3794F"/>
    <w:rsid w:val="00B40A30"/>
    <w:rsid w:val="00B42610"/>
    <w:rsid w:val="00B42970"/>
    <w:rsid w:val="00B439C4"/>
    <w:rsid w:val="00B43A44"/>
    <w:rsid w:val="00B469CF"/>
    <w:rsid w:val="00B5091E"/>
    <w:rsid w:val="00B521BD"/>
    <w:rsid w:val="00B53303"/>
    <w:rsid w:val="00B57A69"/>
    <w:rsid w:val="00B57EC0"/>
    <w:rsid w:val="00B6028B"/>
    <w:rsid w:val="00B60AF5"/>
    <w:rsid w:val="00B66212"/>
    <w:rsid w:val="00B67E43"/>
    <w:rsid w:val="00B72A82"/>
    <w:rsid w:val="00B7661E"/>
    <w:rsid w:val="00B76CA8"/>
    <w:rsid w:val="00B76F6D"/>
    <w:rsid w:val="00B77756"/>
    <w:rsid w:val="00B83264"/>
    <w:rsid w:val="00B848D4"/>
    <w:rsid w:val="00B851D2"/>
    <w:rsid w:val="00B86316"/>
    <w:rsid w:val="00B8797D"/>
    <w:rsid w:val="00B9159B"/>
    <w:rsid w:val="00B918A8"/>
    <w:rsid w:val="00B9265E"/>
    <w:rsid w:val="00B93086"/>
    <w:rsid w:val="00B94402"/>
    <w:rsid w:val="00B97442"/>
    <w:rsid w:val="00BA1501"/>
    <w:rsid w:val="00BA19ED"/>
    <w:rsid w:val="00BA1A1F"/>
    <w:rsid w:val="00BA300B"/>
    <w:rsid w:val="00BA4B8D"/>
    <w:rsid w:val="00BA5966"/>
    <w:rsid w:val="00BB13E8"/>
    <w:rsid w:val="00BB2412"/>
    <w:rsid w:val="00BC0F7D"/>
    <w:rsid w:val="00BC155B"/>
    <w:rsid w:val="00BC1C56"/>
    <w:rsid w:val="00BC20D9"/>
    <w:rsid w:val="00BC3990"/>
    <w:rsid w:val="00BD05E9"/>
    <w:rsid w:val="00BD10BC"/>
    <w:rsid w:val="00BD4B06"/>
    <w:rsid w:val="00BD56A7"/>
    <w:rsid w:val="00BD6C61"/>
    <w:rsid w:val="00BD7355"/>
    <w:rsid w:val="00BE0421"/>
    <w:rsid w:val="00BE0C81"/>
    <w:rsid w:val="00BE3255"/>
    <w:rsid w:val="00BF128E"/>
    <w:rsid w:val="00BF46E7"/>
    <w:rsid w:val="00BF5F5B"/>
    <w:rsid w:val="00BF6B94"/>
    <w:rsid w:val="00BF7F3B"/>
    <w:rsid w:val="00C00A71"/>
    <w:rsid w:val="00C010CD"/>
    <w:rsid w:val="00C03F8A"/>
    <w:rsid w:val="00C04C47"/>
    <w:rsid w:val="00C1496A"/>
    <w:rsid w:val="00C15897"/>
    <w:rsid w:val="00C246BA"/>
    <w:rsid w:val="00C260C6"/>
    <w:rsid w:val="00C27F76"/>
    <w:rsid w:val="00C33079"/>
    <w:rsid w:val="00C33506"/>
    <w:rsid w:val="00C34314"/>
    <w:rsid w:val="00C379D8"/>
    <w:rsid w:val="00C4070F"/>
    <w:rsid w:val="00C4354A"/>
    <w:rsid w:val="00C45231"/>
    <w:rsid w:val="00C5359F"/>
    <w:rsid w:val="00C5426D"/>
    <w:rsid w:val="00C5685D"/>
    <w:rsid w:val="00C60513"/>
    <w:rsid w:val="00C61D1C"/>
    <w:rsid w:val="00C70668"/>
    <w:rsid w:val="00C724F5"/>
    <w:rsid w:val="00C72833"/>
    <w:rsid w:val="00C73514"/>
    <w:rsid w:val="00C7428B"/>
    <w:rsid w:val="00C74AFF"/>
    <w:rsid w:val="00C776A4"/>
    <w:rsid w:val="00C77A33"/>
    <w:rsid w:val="00C80F1D"/>
    <w:rsid w:val="00C82550"/>
    <w:rsid w:val="00C87527"/>
    <w:rsid w:val="00C925D7"/>
    <w:rsid w:val="00C928B4"/>
    <w:rsid w:val="00C92F61"/>
    <w:rsid w:val="00C930CF"/>
    <w:rsid w:val="00C93F40"/>
    <w:rsid w:val="00CA1C65"/>
    <w:rsid w:val="00CA3D0C"/>
    <w:rsid w:val="00CA3F1F"/>
    <w:rsid w:val="00CA4BE4"/>
    <w:rsid w:val="00CB2052"/>
    <w:rsid w:val="00CB45AB"/>
    <w:rsid w:val="00CB4DC4"/>
    <w:rsid w:val="00CB66BA"/>
    <w:rsid w:val="00CB7613"/>
    <w:rsid w:val="00CB764A"/>
    <w:rsid w:val="00CC3BA1"/>
    <w:rsid w:val="00CC42C6"/>
    <w:rsid w:val="00CC5A27"/>
    <w:rsid w:val="00CD1191"/>
    <w:rsid w:val="00CD14E9"/>
    <w:rsid w:val="00CD1693"/>
    <w:rsid w:val="00CD4B25"/>
    <w:rsid w:val="00CD6FF5"/>
    <w:rsid w:val="00CD7B5B"/>
    <w:rsid w:val="00CE035B"/>
    <w:rsid w:val="00CE39BE"/>
    <w:rsid w:val="00CE423E"/>
    <w:rsid w:val="00CE7369"/>
    <w:rsid w:val="00CF20E3"/>
    <w:rsid w:val="00D002B6"/>
    <w:rsid w:val="00D10B5C"/>
    <w:rsid w:val="00D14D21"/>
    <w:rsid w:val="00D15BBA"/>
    <w:rsid w:val="00D20553"/>
    <w:rsid w:val="00D206DF"/>
    <w:rsid w:val="00D22D88"/>
    <w:rsid w:val="00D30349"/>
    <w:rsid w:val="00D30464"/>
    <w:rsid w:val="00D309CC"/>
    <w:rsid w:val="00D3351F"/>
    <w:rsid w:val="00D34E1E"/>
    <w:rsid w:val="00D35B3F"/>
    <w:rsid w:val="00D414E1"/>
    <w:rsid w:val="00D431B7"/>
    <w:rsid w:val="00D46332"/>
    <w:rsid w:val="00D46431"/>
    <w:rsid w:val="00D468B9"/>
    <w:rsid w:val="00D514A8"/>
    <w:rsid w:val="00D52979"/>
    <w:rsid w:val="00D52A2A"/>
    <w:rsid w:val="00D5369D"/>
    <w:rsid w:val="00D553ED"/>
    <w:rsid w:val="00D56A52"/>
    <w:rsid w:val="00D57972"/>
    <w:rsid w:val="00D6107D"/>
    <w:rsid w:val="00D645AF"/>
    <w:rsid w:val="00D65F45"/>
    <w:rsid w:val="00D675A9"/>
    <w:rsid w:val="00D6769F"/>
    <w:rsid w:val="00D738D6"/>
    <w:rsid w:val="00D74612"/>
    <w:rsid w:val="00D755EB"/>
    <w:rsid w:val="00D7564D"/>
    <w:rsid w:val="00D761E5"/>
    <w:rsid w:val="00D77E92"/>
    <w:rsid w:val="00D808EB"/>
    <w:rsid w:val="00D821E5"/>
    <w:rsid w:val="00D8624B"/>
    <w:rsid w:val="00D87812"/>
    <w:rsid w:val="00D87E00"/>
    <w:rsid w:val="00D907F9"/>
    <w:rsid w:val="00D9134D"/>
    <w:rsid w:val="00D93EF2"/>
    <w:rsid w:val="00D94480"/>
    <w:rsid w:val="00D97256"/>
    <w:rsid w:val="00DA1773"/>
    <w:rsid w:val="00DA2BE3"/>
    <w:rsid w:val="00DA3BC8"/>
    <w:rsid w:val="00DA7A03"/>
    <w:rsid w:val="00DB12EC"/>
    <w:rsid w:val="00DB1301"/>
    <w:rsid w:val="00DB13D0"/>
    <w:rsid w:val="00DB1818"/>
    <w:rsid w:val="00DB1BCE"/>
    <w:rsid w:val="00DB4E11"/>
    <w:rsid w:val="00DB7ABC"/>
    <w:rsid w:val="00DC309B"/>
    <w:rsid w:val="00DC47A6"/>
    <w:rsid w:val="00DC4DA2"/>
    <w:rsid w:val="00DD089D"/>
    <w:rsid w:val="00DD2FA9"/>
    <w:rsid w:val="00DD45F1"/>
    <w:rsid w:val="00DD4C17"/>
    <w:rsid w:val="00DD5B05"/>
    <w:rsid w:val="00DD78E7"/>
    <w:rsid w:val="00DE2B8A"/>
    <w:rsid w:val="00DE6BE6"/>
    <w:rsid w:val="00DF2286"/>
    <w:rsid w:val="00DF2B1F"/>
    <w:rsid w:val="00DF6189"/>
    <w:rsid w:val="00DF62CD"/>
    <w:rsid w:val="00E003A9"/>
    <w:rsid w:val="00E030C8"/>
    <w:rsid w:val="00E033B1"/>
    <w:rsid w:val="00E06C48"/>
    <w:rsid w:val="00E06ECF"/>
    <w:rsid w:val="00E13876"/>
    <w:rsid w:val="00E14634"/>
    <w:rsid w:val="00E16509"/>
    <w:rsid w:val="00E2363F"/>
    <w:rsid w:val="00E24E3B"/>
    <w:rsid w:val="00E257F6"/>
    <w:rsid w:val="00E26CBD"/>
    <w:rsid w:val="00E27B54"/>
    <w:rsid w:val="00E32A96"/>
    <w:rsid w:val="00E33BF3"/>
    <w:rsid w:val="00E34C44"/>
    <w:rsid w:val="00E36C47"/>
    <w:rsid w:val="00E374CA"/>
    <w:rsid w:val="00E40527"/>
    <w:rsid w:val="00E4160D"/>
    <w:rsid w:val="00E4203B"/>
    <w:rsid w:val="00E44360"/>
    <w:rsid w:val="00E44582"/>
    <w:rsid w:val="00E445A2"/>
    <w:rsid w:val="00E46BF8"/>
    <w:rsid w:val="00E4765D"/>
    <w:rsid w:val="00E477BE"/>
    <w:rsid w:val="00E479EF"/>
    <w:rsid w:val="00E50135"/>
    <w:rsid w:val="00E507ED"/>
    <w:rsid w:val="00E52814"/>
    <w:rsid w:val="00E52D2E"/>
    <w:rsid w:val="00E53B5D"/>
    <w:rsid w:val="00E55B2C"/>
    <w:rsid w:val="00E56C84"/>
    <w:rsid w:val="00E603C1"/>
    <w:rsid w:val="00E62115"/>
    <w:rsid w:val="00E65AAE"/>
    <w:rsid w:val="00E70295"/>
    <w:rsid w:val="00E703E1"/>
    <w:rsid w:val="00E71D42"/>
    <w:rsid w:val="00E72324"/>
    <w:rsid w:val="00E72ABE"/>
    <w:rsid w:val="00E75C1B"/>
    <w:rsid w:val="00E76BD1"/>
    <w:rsid w:val="00E77364"/>
    <w:rsid w:val="00E77645"/>
    <w:rsid w:val="00E80DE4"/>
    <w:rsid w:val="00E82623"/>
    <w:rsid w:val="00E8309B"/>
    <w:rsid w:val="00E879EE"/>
    <w:rsid w:val="00E92F48"/>
    <w:rsid w:val="00E96859"/>
    <w:rsid w:val="00EA1E00"/>
    <w:rsid w:val="00EA5B41"/>
    <w:rsid w:val="00EA6749"/>
    <w:rsid w:val="00EB22F4"/>
    <w:rsid w:val="00EB4042"/>
    <w:rsid w:val="00EB47FE"/>
    <w:rsid w:val="00EB6002"/>
    <w:rsid w:val="00EB63C1"/>
    <w:rsid w:val="00EC11BA"/>
    <w:rsid w:val="00EC1E93"/>
    <w:rsid w:val="00EC2729"/>
    <w:rsid w:val="00EC3517"/>
    <w:rsid w:val="00EC3D37"/>
    <w:rsid w:val="00EC4A25"/>
    <w:rsid w:val="00EC6DC1"/>
    <w:rsid w:val="00ED2846"/>
    <w:rsid w:val="00ED296D"/>
    <w:rsid w:val="00ED3052"/>
    <w:rsid w:val="00ED4894"/>
    <w:rsid w:val="00EE56AB"/>
    <w:rsid w:val="00EE5AA7"/>
    <w:rsid w:val="00EE5D8F"/>
    <w:rsid w:val="00EE74D3"/>
    <w:rsid w:val="00EF09B4"/>
    <w:rsid w:val="00EF3EDC"/>
    <w:rsid w:val="00EF6895"/>
    <w:rsid w:val="00EF6984"/>
    <w:rsid w:val="00EF70D0"/>
    <w:rsid w:val="00EF76F3"/>
    <w:rsid w:val="00EF7828"/>
    <w:rsid w:val="00F015A4"/>
    <w:rsid w:val="00F025A2"/>
    <w:rsid w:val="00F04712"/>
    <w:rsid w:val="00F07212"/>
    <w:rsid w:val="00F10B1F"/>
    <w:rsid w:val="00F16DDC"/>
    <w:rsid w:val="00F209B1"/>
    <w:rsid w:val="00F21311"/>
    <w:rsid w:val="00F22EC7"/>
    <w:rsid w:val="00F25937"/>
    <w:rsid w:val="00F273D3"/>
    <w:rsid w:val="00F3035A"/>
    <w:rsid w:val="00F31C79"/>
    <w:rsid w:val="00F325C8"/>
    <w:rsid w:val="00F32778"/>
    <w:rsid w:val="00F33CB2"/>
    <w:rsid w:val="00F35758"/>
    <w:rsid w:val="00F37628"/>
    <w:rsid w:val="00F40958"/>
    <w:rsid w:val="00F465DF"/>
    <w:rsid w:val="00F4799F"/>
    <w:rsid w:val="00F50DE5"/>
    <w:rsid w:val="00F56D57"/>
    <w:rsid w:val="00F61B4D"/>
    <w:rsid w:val="00F62AEB"/>
    <w:rsid w:val="00F653B8"/>
    <w:rsid w:val="00F70647"/>
    <w:rsid w:val="00F73852"/>
    <w:rsid w:val="00F7420E"/>
    <w:rsid w:val="00F77382"/>
    <w:rsid w:val="00F84B3D"/>
    <w:rsid w:val="00F851B0"/>
    <w:rsid w:val="00F85F9B"/>
    <w:rsid w:val="00F86361"/>
    <w:rsid w:val="00F8688A"/>
    <w:rsid w:val="00F92298"/>
    <w:rsid w:val="00F9377C"/>
    <w:rsid w:val="00F95EDB"/>
    <w:rsid w:val="00F96804"/>
    <w:rsid w:val="00FA0D1A"/>
    <w:rsid w:val="00FA0DFF"/>
    <w:rsid w:val="00FA1266"/>
    <w:rsid w:val="00FA7625"/>
    <w:rsid w:val="00FA7D14"/>
    <w:rsid w:val="00FB0219"/>
    <w:rsid w:val="00FB119B"/>
    <w:rsid w:val="00FB2C76"/>
    <w:rsid w:val="00FB68AC"/>
    <w:rsid w:val="00FB7689"/>
    <w:rsid w:val="00FC1192"/>
    <w:rsid w:val="00FC371C"/>
    <w:rsid w:val="00FC40C0"/>
    <w:rsid w:val="00FC4835"/>
    <w:rsid w:val="00FC59FD"/>
    <w:rsid w:val="00FD12FB"/>
    <w:rsid w:val="00FD324E"/>
    <w:rsid w:val="00FE0EF3"/>
    <w:rsid w:val="00FE56D4"/>
    <w:rsid w:val="00FE5792"/>
    <w:rsid w:val="00FE63B0"/>
    <w:rsid w:val="00FF63A3"/>
    <w:rsid w:val="51BCB2A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List 2"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6212AD"/>
    <w:pPr>
      <w:ind w:left="720"/>
      <w:contextualSpacing/>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74AFF"/>
    <w:rPr>
      <w:lang w:eastAsia="en-US"/>
    </w:rPr>
  </w:style>
  <w:style w:type="character" w:customStyle="1" w:styleId="TACChar">
    <w:name w:val="TAC Char"/>
    <w:link w:val="TAC"/>
    <w:qFormat/>
    <w:rsid w:val="00EE56AB"/>
    <w:rPr>
      <w:rFonts w:ascii="Arial" w:hAnsi="Arial"/>
      <w:sz w:val="18"/>
      <w:lang w:eastAsia="en-US"/>
    </w:rPr>
  </w:style>
  <w:style w:type="character" w:customStyle="1" w:styleId="THChar">
    <w:name w:val="TH Char"/>
    <w:link w:val="TH"/>
    <w:qFormat/>
    <w:rsid w:val="00EE56AB"/>
    <w:rPr>
      <w:rFonts w:ascii="Arial" w:hAnsi="Arial"/>
      <w:b/>
      <w:lang w:eastAsia="en-US"/>
    </w:rPr>
  </w:style>
  <w:style w:type="character" w:customStyle="1" w:styleId="TAHCar">
    <w:name w:val="TAH Car"/>
    <w:link w:val="TAH"/>
    <w:qFormat/>
    <w:rsid w:val="00EE56AB"/>
    <w:rPr>
      <w:rFonts w:ascii="Arial" w:hAnsi="Arial"/>
      <w:b/>
      <w:sz w:val="18"/>
      <w:lang w:eastAsia="en-US"/>
    </w:rPr>
  </w:style>
  <w:style w:type="character" w:styleId="FollowedHyperlink">
    <w:name w:val="FollowedHyperlink"/>
    <w:basedOn w:val="DefaultParagraphFont"/>
    <w:rsid w:val="006800C1"/>
    <w:rPr>
      <w:color w:val="954F72" w:themeColor="followedHyperlink"/>
      <w:u w:val="single"/>
    </w:rPr>
  </w:style>
  <w:style w:type="character" w:styleId="CommentReference">
    <w:name w:val="annotation reference"/>
    <w:basedOn w:val="DefaultParagraphFont"/>
    <w:rsid w:val="00CC5A27"/>
    <w:rPr>
      <w:sz w:val="16"/>
      <w:szCs w:val="16"/>
    </w:rPr>
  </w:style>
  <w:style w:type="paragraph" w:styleId="CommentText">
    <w:name w:val="annotation text"/>
    <w:basedOn w:val="Normal"/>
    <w:link w:val="CommentTextChar"/>
    <w:rsid w:val="00CC5A27"/>
  </w:style>
  <w:style w:type="character" w:customStyle="1" w:styleId="CommentTextChar">
    <w:name w:val="Comment Text Char"/>
    <w:basedOn w:val="DefaultParagraphFont"/>
    <w:link w:val="CommentText"/>
    <w:rsid w:val="00CC5A27"/>
    <w:rPr>
      <w:lang w:eastAsia="en-US"/>
    </w:rPr>
  </w:style>
  <w:style w:type="paragraph" w:styleId="CommentSubject">
    <w:name w:val="annotation subject"/>
    <w:basedOn w:val="CommentText"/>
    <w:next w:val="CommentText"/>
    <w:link w:val="CommentSubjectChar"/>
    <w:rsid w:val="00CC5A27"/>
    <w:rPr>
      <w:b/>
      <w:bCs/>
    </w:rPr>
  </w:style>
  <w:style w:type="character" w:customStyle="1" w:styleId="CommentSubjectChar">
    <w:name w:val="Comment Subject Char"/>
    <w:basedOn w:val="CommentTextChar"/>
    <w:link w:val="CommentSubject"/>
    <w:rsid w:val="00CC5A27"/>
    <w:rPr>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E50135"/>
    <w:pPr>
      <w:spacing w:before="120" w:after="120"/>
    </w:pPr>
    <w:rPr>
      <w:rFonts w:eastAsia="MS Mincho"/>
      <w:b/>
    </w:rPr>
  </w:style>
  <w:style w:type="character" w:customStyle="1" w:styleId="TANChar">
    <w:name w:val="TAN Char"/>
    <w:link w:val="TAN"/>
    <w:qFormat/>
    <w:rsid w:val="00E50135"/>
    <w:rPr>
      <w:rFonts w:ascii="Arial" w:hAnsi="Arial"/>
      <w:sz w:val="18"/>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E50135"/>
    <w:rPr>
      <w:rFonts w:eastAsia="MS Mincho"/>
      <w:b/>
      <w:lang w:eastAsia="en-US"/>
    </w:rPr>
  </w:style>
  <w:style w:type="paragraph" w:customStyle="1" w:styleId="FL">
    <w:name w:val="FL"/>
    <w:basedOn w:val="Normal"/>
    <w:qFormat/>
    <w:rsid w:val="00E50135"/>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TALChar">
    <w:name w:val="TAL Char"/>
    <w:link w:val="TAL"/>
    <w:locked/>
    <w:rsid w:val="009A4498"/>
    <w:rPr>
      <w:rFonts w:ascii="Arial" w:hAnsi="Arial"/>
      <w:sz w:val="18"/>
      <w:lang w:eastAsia="en-US"/>
    </w:rPr>
  </w:style>
  <w:style w:type="character" w:customStyle="1" w:styleId="PLChar">
    <w:name w:val="PL Char"/>
    <w:link w:val="PL"/>
    <w:qFormat/>
    <w:rsid w:val="00CE423E"/>
    <w:rPr>
      <w:rFonts w:ascii="Courier New" w:hAnsi="Courier New"/>
      <w:noProof/>
      <w:sz w:val="16"/>
      <w:lang w:eastAsia="en-US"/>
    </w:rPr>
  </w:style>
  <w:style w:type="paragraph" w:styleId="List2">
    <w:name w:val="List 2"/>
    <w:basedOn w:val="List"/>
    <w:uiPriority w:val="99"/>
    <w:rsid w:val="00CE423E"/>
    <w:pPr>
      <w:ind w:left="851" w:hanging="284"/>
      <w:contextualSpacing w:val="0"/>
    </w:pPr>
    <w:rPr>
      <w:rFonts w:eastAsia="SimSun"/>
    </w:rPr>
  </w:style>
  <w:style w:type="paragraph" w:styleId="List">
    <w:name w:val="List"/>
    <w:basedOn w:val="Normal"/>
    <w:rsid w:val="00CE423E"/>
    <w:pPr>
      <w:ind w:left="283" w:hanging="283"/>
      <w:contextualSpacing/>
    </w:pPr>
  </w:style>
  <w:style w:type="character" w:customStyle="1" w:styleId="B1Char">
    <w:name w:val="B1 Char"/>
    <w:link w:val="B1"/>
    <w:qFormat/>
    <w:rsid w:val="004773D7"/>
    <w:rPr>
      <w:lang w:eastAsia="en-US"/>
    </w:rPr>
  </w:style>
  <w:style w:type="character" w:customStyle="1" w:styleId="TALCar">
    <w:name w:val="TAL Car"/>
    <w:basedOn w:val="DefaultParagraphFont"/>
    <w:qFormat/>
    <w:locked/>
    <w:rsid w:val="00D808EB"/>
    <w:rPr>
      <w:rFonts w:ascii="Arial" w:hAnsi="Arial"/>
      <w:sz w:val="18"/>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311499">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583102197">
      <w:bodyDiv w:val="1"/>
      <w:marLeft w:val="0"/>
      <w:marRight w:val="0"/>
      <w:marTop w:val="0"/>
      <w:marBottom w:val="0"/>
      <w:divBdr>
        <w:top w:val="none" w:sz="0" w:space="0" w:color="auto"/>
        <w:left w:val="none" w:sz="0" w:space="0" w:color="auto"/>
        <w:bottom w:val="none" w:sz="0" w:space="0" w:color="auto"/>
        <w:right w:val="none" w:sz="0" w:space="0" w:color="auto"/>
      </w:divBdr>
      <w:divsChild>
        <w:div w:id="1369530949">
          <w:marLeft w:val="0"/>
          <w:marRight w:val="0"/>
          <w:marTop w:val="0"/>
          <w:marBottom w:val="0"/>
          <w:divBdr>
            <w:top w:val="none" w:sz="0" w:space="0" w:color="auto"/>
            <w:left w:val="none" w:sz="0" w:space="0" w:color="auto"/>
            <w:bottom w:val="none" w:sz="0" w:space="0" w:color="auto"/>
            <w:right w:val="none" w:sz="0" w:space="0" w:color="auto"/>
          </w:divBdr>
          <w:divsChild>
            <w:div w:id="1651203958">
              <w:marLeft w:val="0"/>
              <w:marRight w:val="0"/>
              <w:marTop w:val="0"/>
              <w:marBottom w:val="0"/>
              <w:divBdr>
                <w:top w:val="none" w:sz="0" w:space="0" w:color="auto"/>
                <w:left w:val="none" w:sz="0" w:space="0" w:color="auto"/>
                <w:bottom w:val="none" w:sz="0" w:space="0" w:color="auto"/>
                <w:right w:val="none" w:sz="0" w:space="0" w:color="auto"/>
              </w:divBdr>
              <w:divsChild>
                <w:div w:id="20814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8927138">
      <w:bodyDiv w:val="1"/>
      <w:marLeft w:val="0"/>
      <w:marRight w:val="0"/>
      <w:marTop w:val="0"/>
      <w:marBottom w:val="0"/>
      <w:divBdr>
        <w:top w:val="none" w:sz="0" w:space="0" w:color="auto"/>
        <w:left w:val="none" w:sz="0" w:space="0" w:color="auto"/>
        <w:bottom w:val="none" w:sz="0" w:space="0" w:color="auto"/>
        <w:right w:val="none" w:sz="0" w:space="0" w:color="auto"/>
      </w:divBdr>
    </w:div>
    <w:div w:id="765271651">
      <w:bodyDiv w:val="1"/>
      <w:marLeft w:val="0"/>
      <w:marRight w:val="0"/>
      <w:marTop w:val="0"/>
      <w:marBottom w:val="0"/>
      <w:divBdr>
        <w:top w:val="none" w:sz="0" w:space="0" w:color="auto"/>
        <w:left w:val="none" w:sz="0" w:space="0" w:color="auto"/>
        <w:bottom w:val="none" w:sz="0" w:space="0" w:color="auto"/>
        <w:right w:val="none" w:sz="0" w:space="0" w:color="auto"/>
      </w:divBdr>
      <w:divsChild>
        <w:div w:id="1862277039">
          <w:marLeft w:val="0"/>
          <w:marRight w:val="0"/>
          <w:marTop w:val="0"/>
          <w:marBottom w:val="0"/>
          <w:divBdr>
            <w:top w:val="none" w:sz="0" w:space="0" w:color="auto"/>
            <w:left w:val="none" w:sz="0" w:space="0" w:color="auto"/>
            <w:bottom w:val="none" w:sz="0" w:space="0" w:color="auto"/>
            <w:right w:val="none" w:sz="0" w:space="0" w:color="auto"/>
          </w:divBdr>
          <w:divsChild>
            <w:div w:id="342707158">
              <w:marLeft w:val="0"/>
              <w:marRight w:val="0"/>
              <w:marTop w:val="0"/>
              <w:marBottom w:val="0"/>
              <w:divBdr>
                <w:top w:val="none" w:sz="0" w:space="0" w:color="auto"/>
                <w:left w:val="none" w:sz="0" w:space="0" w:color="auto"/>
                <w:bottom w:val="none" w:sz="0" w:space="0" w:color="auto"/>
                <w:right w:val="none" w:sz="0" w:space="0" w:color="auto"/>
              </w:divBdr>
              <w:divsChild>
                <w:div w:id="533276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6991247">
      <w:bodyDiv w:val="1"/>
      <w:marLeft w:val="0"/>
      <w:marRight w:val="0"/>
      <w:marTop w:val="0"/>
      <w:marBottom w:val="0"/>
      <w:divBdr>
        <w:top w:val="none" w:sz="0" w:space="0" w:color="auto"/>
        <w:left w:val="none" w:sz="0" w:space="0" w:color="auto"/>
        <w:bottom w:val="none" w:sz="0" w:space="0" w:color="auto"/>
        <w:right w:val="none" w:sz="0" w:space="0" w:color="auto"/>
      </w:divBdr>
      <w:divsChild>
        <w:div w:id="757016700">
          <w:marLeft w:val="0"/>
          <w:marRight w:val="0"/>
          <w:marTop w:val="0"/>
          <w:marBottom w:val="0"/>
          <w:divBdr>
            <w:top w:val="none" w:sz="0" w:space="0" w:color="auto"/>
            <w:left w:val="none" w:sz="0" w:space="0" w:color="auto"/>
            <w:bottom w:val="none" w:sz="0" w:space="0" w:color="auto"/>
            <w:right w:val="none" w:sz="0" w:space="0" w:color="auto"/>
          </w:divBdr>
          <w:divsChild>
            <w:div w:id="883523337">
              <w:marLeft w:val="0"/>
              <w:marRight w:val="0"/>
              <w:marTop w:val="0"/>
              <w:marBottom w:val="0"/>
              <w:divBdr>
                <w:top w:val="none" w:sz="0" w:space="0" w:color="auto"/>
                <w:left w:val="none" w:sz="0" w:space="0" w:color="auto"/>
                <w:bottom w:val="none" w:sz="0" w:space="0" w:color="auto"/>
                <w:right w:val="none" w:sz="0" w:space="0" w:color="auto"/>
              </w:divBdr>
              <w:divsChild>
                <w:div w:id="175685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765818">
      <w:bodyDiv w:val="1"/>
      <w:marLeft w:val="0"/>
      <w:marRight w:val="0"/>
      <w:marTop w:val="0"/>
      <w:marBottom w:val="0"/>
      <w:divBdr>
        <w:top w:val="none" w:sz="0" w:space="0" w:color="auto"/>
        <w:left w:val="none" w:sz="0" w:space="0" w:color="auto"/>
        <w:bottom w:val="none" w:sz="0" w:space="0" w:color="auto"/>
        <w:right w:val="none" w:sz="0" w:space="0" w:color="auto"/>
      </w:divBdr>
    </w:div>
    <w:div w:id="1071659204">
      <w:bodyDiv w:val="1"/>
      <w:marLeft w:val="0"/>
      <w:marRight w:val="0"/>
      <w:marTop w:val="0"/>
      <w:marBottom w:val="0"/>
      <w:divBdr>
        <w:top w:val="none" w:sz="0" w:space="0" w:color="auto"/>
        <w:left w:val="none" w:sz="0" w:space="0" w:color="auto"/>
        <w:bottom w:val="none" w:sz="0" w:space="0" w:color="auto"/>
        <w:right w:val="none" w:sz="0" w:space="0" w:color="auto"/>
      </w:divBdr>
    </w:div>
    <w:div w:id="1083914793">
      <w:bodyDiv w:val="1"/>
      <w:marLeft w:val="0"/>
      <w:marRight w:val="0"/>
      <w:marTop w:val="0"/>
      <w:marBottom w:val="0"/>
      <w:divBdr>
        <w:top w:val="none" w:sz="0" w:space="0" w:color="auto"/>
        <w:left w:val="none" w:sz="0" w:space="0" w:color="auto"/>
        <w:bottom w:val="none" w:sz="0" w:space="0" w:color="auto"/>
        <w:right w:val="none" w:sz="0" w:space="0" w:color="auto"/>
      </w:divBdr>
    </w:div>
    <w:div w:id="1112633724">
      <w:bodyDiv w:val="1"/>
      <w:marLeft w:val="0"/>
      <w:marRight w:val="0"/>
      <w:marTop w:val="0"/>
      <w:marBottom w:val="0"/>
      <w:divBdr>
        <w:top w:val="none" w:sz="0" w:space="0" w:color="auto"/>
        <w:left w:val="none" w:sz="0" w:space="0" w:color="auto"/>
        <w:bottom w:val="none" w:sz="0" w:space="0" w:color="auto"/>
        <w:right w:val="none" w:sz="0" w:space="0" w:color="auto"/>
      </w:divBdr>
      <w:divsChild>
        <w:div w:id="41828021">
          <w:marLeft w:val="0"/>
          <w:marRight w:val="0"/>
          <w:marTop w:val="0"/>
          <w:marBottom w:val="0"/>
          <w:divBdr>
            <w:top w:val="none" w:sz="0" w:space="0" w:color="auto"/>
            <w:left w:val="none" w:sz="0" w:space="0" w:color="auto"/>
            <w:bottom w:val="none" w:sz="0" w:space="0" w:color="auto"/>
            <w:right w:val="none" w:sz="0" w:space="0" w:color="auto"/>
          </w:divBdr>
          <w:divsChild>
            <w:div w:id="1912961566">
              <w:marLeft w:val="0"/>
              <w:marRight w:val="0"/>
              <w:marTop w:val="0"/>
              <w:marBottom w:val="0"/>
              <w:divBdr>
                <w:top w:val="none" w:sz="0" w:space="0" w:color="auto"/>
                <w:left w:val="none" w:sz="0" w:space="0" w:color="auto"/>
                <w:bottom w:val="none" w:sz="0" w:space="0" w:color="auto"/>
                <w:right w:val="none" w:sz="0" w:space="0" w:color="auto"/>
              </w:divBdr>
              <w:divsChild>
                <w:div w:id="151526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955796">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10262559">
      <w:bodyDiv w:val="1"/>
      <w:marLeft w:val="0"/>
      <w:marRight w:val="0"/>
      <w:marTop w:val="0"/>
      <w:marBottom w:val="0"/>
      <w:divBdr>
        <w:top w:val="none" w:sz="0" w:space="0" w:color="auto"/>
        <w:left w:val="none" w:sz="0" w:space="0" w:color="auto"/>
        <w:bottom w:val="none" w:sz="0" w:space="0" w:color="auto"/>
        <w:right w:val="none" w:sz="0" w:space="0" w:color="auto"/>
      </w:divBdr>
    </w:div>
    <w:div w:id="1598632139">
      <w:bodyDiv w:val="1"/>
      <w:marLeft w:val="0"/>
      <w:marRight w:val="0"/>
      <w:marTop w:val="0"/>
      <w:marBottom w:val="0"/>
      <w:divBdr>
        <w:top w:val="none" w:sz="0" w:space="0" w:color="auto"/>
        <w:left w:val="none" w:sz="0" w:space="0" w:color="auto"/>
        <w:bottom w:val="none" w:sz="0" w:space="0" w:color="auto"/>
        <w:right w:val="none" w:sz="0" w:space="0" w:color="auto"/>
      </w:divBdr>
      <w:divsChild>
        <w:div w:id="1934390476">
          <w:marLeft w:val="0"/>
          <w:marRight w:val="0"/>
          <w:marTop w:val="0"/>
          <w:marBottom w:val="0"/>
          <w:divBdr>
            <w:top w:val="none" w:sz="0" w:space="0" w:color="auto"/>
            <w:left w:val="none" w:sz="0" w:space="0" w:color="auto"/>
            <w:bottom w:val="none" w:sz="0" w:space="0" w:color="auto"/>
            <w:right w:val="none" w:sz="0" w:space="0" w:color="auto"/>
          </w:divBdr>
          <w:divsChild>
            <w:div w:id="1451780483">
              <w:marLeft w:val="0"/>
              <w:marRight w:val="0"/>
              <w:marTop w:val="0"/>
              <w:marBottom w:val="0"/>
              <w:divBdr>
                <w:top w:val="none" w:sz="0" w:space="0" w:color="auto"/>
                <w:left w:val="none" w:sz="0" w:space="0" w:color="auto"/>
                <w:bottom w:val="none" w:sz="0" w:space="0" w:color="auto"/>
                <w:right w:val="none" w:sz="0" w:space="0" w:color="auto"/>
              </w:divBdr>
              <w:divsChild>
                <w:div w:id="450173112">
                  <w:marLeft w:val="0"/>
                  <w:marRight w:val="0"/>
                  <w:marTop w:val="0"/>
                  <w:marBottom w:val="0"/>
                  <w:divBdr>
                    <w:top w:val="none" w:sz="0" w:space="0" w:color="auto"/>
                    <w:left w:val="none" w:sz="0" w:space="0" w:color="auto"/>
                    <w:bottom w:val="none" w:sz="0" w:space="0" w:color="auto"/>
                    <w:right w:val="none" w:sz="0" w:space="0" w:color="auto"/>
                  </w:divBdr>
                  <w:divsChild>
                    <w:div w:id="545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723293">
      <w:bodyDiv w:val="1"/>
      <w:marLeft w:val="0"/>
      <w:marRight w:val="0"/>
      <w:marTop w:val="0"/>
      <w:marBottom w:val="0"/>
      <w:divBdr>
        <w:top w:val="none" w:sz="0" w:space="0" w:color="auto"/>
        <w:left w:val="none" w:sz="0" w:space="0" w:color="auto"/>
        <w:bottom w:val="none" w:sz="0" w:space="0" w:color="auto"/>
        <w:right w:val="none" w:sz="0" w:space="0" w:color="auto"/>
      </w:divBdr>
    </w:div>
    <w:div w:id="1996251748">
      <w:bodyDiv w:val="1"/>
      <w:marLeft w:val="0"/>
      <w:marRight w:val="0"/>
      <w:marTop w:val="0"/>
      <w:marBottom w:val="0"/>
      <w:divBdr>
        <w:top w:val="none" w:sz="0" w:space="0" w:color="auto"/>
        <w:left w:val="none" w:sz="0" w:space="0" w:color="auto"/>
        <w:bottom w:val="none" w:sz="0" w:space="0" w:color="auto"/>
        <w:right w:val="none" w:sz="0" w:space="0" w:color="auto"/>
      </w:divBdr>
      <w:divsChild>
        <w:div w:id="2020304272">
          <w:marLeft w:val="0"/>
          <w:marRight w:val="0"/>
          <w:marTop w:val="0"/>
          <w:marBottom w:val="0"/>
          <w:divBdr>
            <w:top w:val="none" w:sz="0" w:space="0" w:color="auto"/>
            <w:left w:val="none" w:sz="0" w:space="0" w:color="auto"/>
            <w:bottom w:val="none" w:sz="0" w:space="0" w:color="auto"/>
            <w:right w:val="none" w:sz="0" w:space="0" w:color="auto"/>
          </w:divBdr>
          <w:divsChild>
            <w:div w:id="711269928">
              <w:marLeft w:val="0"/>
              <w:marRight w:val="0"/>
              <w:marTop w:val="0"/>
              <w:marBottom w:val="0"/>
              <w:divBdr>
                <w:top w:val="none" w:sz="0" w:space="0" w:color="auto"/>
                <w:left w:val="none" w:sz="0" w:space="0" w:color="auto"/>
                <w:bottom w:val="none" w:sz="0" w:space="0" w:color="auto"/>
                <w:right w:val="none" w:sz="0" w:space="0" w:color="auto"/>
              </w:divBdr>
              <w:divsChild>
                <w:div w:id="106745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297494">
      <w:bodyDiv w:val="1"/>
      <w:marLeft w:val="0"/>
      <w:marRight w:val="0"/>
      <w:marTop w:val="0"/>
      <w:marBottom w:val="0"/>
      <w:divBdr>
        <w:top w:val="none" w:sz="0" w:space="0" w:color="auto"/>
        <w:left w:val="none" w:sz="0" w:space="0" w:color="auto"/>
        <w:bottom w:val="none" w:sz="0" w:space="0" w:color="auto"/>
        <w:right w:val="none" w:sz="0" w:space="0" w:color="auto"/>
      </w:divBdr>
      <w:divsChild>
        <w:div w:id="694039215">
          <w:marLeft w:val="0"/>
          <w:marRight w:val="0"/>
          <w:marTop w:val="0"/>
          <w:marBottom w:val="0"/>
          <w:divBdr>
            <w:top w:val="none" w:sz="0" w:space="0" w:color="auto"/>
            <w:left w:val="none" w:sz="0" w:space="0" w:color="auto"/>
            <w:bottom w:val="none" w:sz="0" w:space="0" w:color="auto"/>
            <w:right w:val="none" w:sz="0" w:space="0" w:color="auto"/>
          </w:divBdr>
          <w:divsChild>
            <w:div w:id="1572428334">
              <w:marLeft w:val="0"/>
              <w:marRight w:val="0"/>
              <w:marTop w:val="0"/>
              <w:marBottom w:val="0"/>
              <w:divBdr>
                <w:top w:val="none" w:sz="0" w:space="0" w:color="auto"/>
                <w:left w:val="none" w:sz="0" w:space="0" w:color="auto"/>
                <w:bottom w:val="none" w:sz="0" w:space="0" w:color="auto"/>
                <w:right w:val="none" w:sz="0" w:space="0" w:color="auto"/>
              </w:divBdr>
              <w:divsChild>
                <w:div w:id="1754468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517F5-6616-5C44-8C35-4B59ED9FA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102</TotalTime>
  <Pages>3</Pages>
  <Words>1153</Words>
  <Characters>6578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7716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14</cp:revision>
  <cp:lastPrinted>2019-02-25T14:05:00Z</cp:lastPrinted>
  <dcterms:created xsi:type="dcterms:W3CDTF">2022-09-29T14:22:00Z</dcterms:created>
  <dcterms:modified xsi:type="dcterms:W3CDTF">2022-09-30T10:04:00Z</dcterms:modified>
  <cp:category/>
</cp:coreProperties>
</file>